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110" w:rsidRPr="00BC07D5" w:rsidRDefault="00550CEA">
      <w:pPr>
        <w:jc w:val="center"/>
        <w:rPr>
          <w:rFonts w:ascii="仿宋" w:eastAsia="仿宋" w:hAnsi="仿宋" w:cs="Times New Roman"/>
          <w:b/>
          <w:color w:val="000000"/>
          <w:sz w:val="44"/>
          <w:szCs w:val="44"/>
        </w:rPr>
      </w:pPr>
      <w:r w:rsidRPr="00BC07D5">
        <w:rPr>
          <w:rFonts w:ascii="仿宋" w:eastAsia="仿宋" w:hAnsi="仿宋" w:cs="Times New Roman"/>
          <w:b/>
          <w:color w:val="000000"/>
          <w:sz w:val="44"/>
          <w:szCs w:val="44"/>
        </w:rPr>
        <w:t>金融控股公司关联交易管理办法</w:t>
      </w:r>
    </w:p>
    <w:p w:rsidR="00093110" w:rsidRPr="00BC07D5" w:rsidRDefault="00550CEA">
      <w:pPr>
        <w:jc w:val="center"/>
        <w:rPr>
          <w:rFonts w:ascii="仿宋" w:eastAsia="仿宋" w:hAnsi="仿宋" w:cs="Times New Roman"/>
          <w:color w:val="000000"/>
          <w:sz w:val="36"/>
          <w:szCs w:val="36"/>
        </w:rPr>
      </w:pPr>
      <w:r w:rsidRPr="00BC07D5">
        <w:rPr>
          <w:rFonts w:ascii="仿宋" w:eastAsia="仿宋" w:hAnsi="仿宋" w:cs="Times New Roman"/>
          <w:b/>
          <w:color w:val="000000"/>
          <w:sz w:val="44"/>
          <w:szCs w:val="44"/>
        </w:rPr>
        <w:t>（征求意见稿）</w:t>
      </w:r>
    </w:p>
    <w:p w:rsidR="00093110" w:rsidRPr="00BC07D5" w:rsidRDefault="00093110">
      <w:pPr>
        <w:jc w:val="center"/>
        <w:rPr>
          <w:rFonts w:ascii="仿宋" w:eastAsia="仿宋" w:hAnsi="仿宋" w:cs="Times New Roman"/>
          <w:color w:val="000000"/>
          <w:sz w:val="32"/>
          <w:szCs w:val="32"/>
        </w:rPr>
      </w:pPr>
    </w:p>
    <w:p w:rsidR="00093110" w:rsidRPr="00BC07D5" w:rsidRDefault="00550CEA">
      <w:pPr>
        <w:jc w:val="center"/>
        <w:rPr>
          <w:rFonts w:ascii="仿宋" w:eastAsia="仿宋" w:hAnsi="仿宋" w:cs="Times New Roman"/>
          <w:b/>
          <w:color w:val="000000"/>
          <w:sz w:val="32"/>
          <w:szCs w:val="32"/>
        </w:rPr>
      </w:pPr>
      <w:r w:rsidRPr="00BC07D5">
        <w:rPr>
          <w:rFonts w:ascii="仿宋" w:eastAsia="仿宋" w:hAnsi="仿宋" w:cs="Times New Roman"/>
          <w:b/>
          <w:color w:val="000000"/>
          <w:sz w:val="32"/>
          <w:szCs w:val="32"/>
        </w:rPr>
        <w:t>第一章</w:t>
      </w:r>
      <w:r w:rsidRPr="00BC07D5">
        <w:rPr>
          <w:rFonts w:ascii="仿宋" w:eastAsia="仿宋" w:hAnsi="仿宋" w:cs="Times New Roman"/>
          <w:b/>
          <w:color w:val="000000"/>
          <w:sz w:val="32"/>
          <w:szCs w:val="32"/>
        </w:rPr>
        <w:t xml:space="preserve"> </w:t>
      </w:r>
      <w:r w:rsidRPr="00BC07D5">
        <w:rPr>
          <w:rFonts w:ascii="仿宋" w:eastAsia="仿宋" w:hAnsi="仿宋" w:cs="Times New Roman"/>
          <w:b/>
          <w:color w:val="000000"/>
          <w:sz w:val="32"/>
          <w:szCs w:val="32"/>
        </w:rPr>
        <w:t>总则</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第一条【立法目的和依据】为规范金融控股公司关联交易行为，防止不当利益输送、风险集中、风险传染和监管套利，促进金融控股公司稳健经营，根据</w:t>
      </w:r>
      <w:r w:rsidRPr="00BC07D5">
        <w:rPr>
          <w:rFonts w:ascii="仿宋" w:eastAsia="仿宋" w:hAnsi="仿宋" w:cs="Times New Roman" w:hint="eastAsia"/>
          <w:color w:val="000000"/>
          <w:sz w:val="32"/>
          <w:szCs w:val="32"/>
        </w:rPr>
        <w:t>《中华人民共和国公司法》、</w:t>
      </w:r>
      <w:r w:rsidRPr="00BC07D5">
        <w:rPr>
          <w:rFonts w:ascii="仿宋" w:eastAsia="仿宋" w:hAnsi="仿宋" w:cs="Times New Roman"/>
          <w:color w:val="000000"/>
          <w:sz w:val="32"/>
          <w:szCs w:val="32"/>
        </w:rPr>
        <w:t>《国务院关于实施金融控股公司准入管理的决定》（国发〔</w:t>
      </w:r>
      <w:r w:rsidRPr="00BC07D5">
        <w:rPr>
          <w:rFonts w:ascii="仿宋" w:eastAsia="仿宋" w:hAnsi="仿宋" w:cs="Times New Roman"/>
          <w:color w:val="000000"/>
          <w:sz w:val="32"/>
          <w:szCs w:val="32"/>
        </w:rPr>
        <w:t>2020</w:t>
      </w:r>
      <w:r w:rsidRPr="00BC07D5">
        <w:rPr>
          <w:rFonts w:ascii="仿宋" w:eastAsia="仿宋" w:hAnsi="仿宋" w:cs="Times New Roman"/>
          <w:color w:val="000000"/>
          <w:sz w:val="32"/>
          <w:szCs w:val="32"/>
        </w:rPr>
        <w:t>〕</w:t>
      </w:r>
      <w:r w:rsidRPr="00BC07D5">
        <w:rPr>
          <w:rFonts w:ascii="仿宋" w:eastAsia="仿宋" w:hAnsi="仿宋" w:cs="Times New Roman"/>
          <w:color w:val="000000"/>
          <w:sz w:val="32"/>
          <w:szCs w:val="32"/>
        </w:rPr>
        <w:t>12</w:t>
      </w:r>
      <w:r w:rsidRPr="00BC07D5">
        <w:rPr>
          <w:rFonts w:ascii="仿宋" w:eastAsia="仿宋" w:hAnsi="仿宋" w:cs="Times New Roman"/>
          <w:color w:val="000000"/>
          <w:sz w:val="32"/>
          <w:szCs w:val="32"/>
        </w:rPr>
        <w:t>号）</w:t>
      </w:r>
      <w:r w:rsidRPr="00BC07D5">
        <w:rPr>
          <w:rFonts w:ascii="仿宋" w:eastAsia="仿宋" w:hAnsi="仿宋" w:cs="Times New Roman" w:hint="eastAsia"/>
          <w:color w:val="000000"/>
          <w:sz w:val="32"/>
          <w:szCs w:val="32"/>
        </w:rPr>
        <w:t>以及</w:t>
      </w:r>
      <w:r w:rsidRPr="00BC07D5">
        <w:rPr>
          <w:rFonts w:ascii="仿宋" w:eastAsia="仿宋" w:hAnsi="仿宋" w:cs="Times New Roman"/>
          <w:color w:val="000000"/>
          <w:sz w:val="32"/>
          <w:szCs w:val="32"/>
        </w:rPr>
        <w:t>《金融控股公司监督管理试行办法》（中国人民银行令〔</w:t>
      </w:r>
      <w:r w:rsidRPr="00BC07D5">
        <w:rPr>
          <w:rFonts w:ascii="仿宋" w:eastAsia="仿宋" w:hAnsi="仿宋" w:cs="Times New Roman"/>
          <w:color w:val="000000"/>
          <w:sz w:val="32"/>
          <w:szCs w:val="32"/>
        </w:rPr>
        <w:t>2020</w:t>
      </w:r>
      <w:r w:rsidRPr="00BC07D5">
        <w:rPr>
          <w:rFonts w:ascii="仿宋" w:eastAsia="仿宋" w:hAnsi="仿宋" w:cs="Times New Roman"/>
          <w:color w:val="000000"/>
          <w:sz w:val="32"/>
          <w:szCs w:val="32"/>
        </w:rPr>
        <w:t>〕第</w:t>
      </w:r>
      <w:r w:rsidRPr="00BC07D5">
        <w:rPr>
          <w:rFonts w:ascii="仿宋" w:eastAsia="仿宋" w:hAnsi="仿宋" w:cs="Times New Roman"/>
          <w:color w:val="000000"/>
          <w:sz w:val="32"/>
          <w:szCs w:val="32"/>
        </w:rPr>
        <w:t>4</w:t>
      </w:r>
      <w:r w:rsidRPr="00BC07D5">
        <w:rPr>
          <w:rFonts w:ascii="仿宋" w:eastAsia="仿宋" w:hAnsi="仿宋" w:cs="Times New Roman"/>
          <w:color w:val="000000"/>
          <w:sz w:val="32"/>
          <w:szCs w:val="32"/>
        </w:rPr>
        <w:t>号发布）</w:t>
      </w:r>
      <w:r w:rsidRPr="00BC07D5">
        <w:rPr>
          <w:rFonts w:ascii="仿宋" w:eastAsia="仿宋" w:hAnsi="仿宋" w:cs="Times New Roman" w:hint="eastAsia"/>
          <w:color w:val="000000"/>
          <w:sz w:val="32"/>
          <w:szCs w:val="32"/>
        </w:rPr>
        <w:t>等法律法规和部门规章</w:t>
      </w:r>
      <w:r w:rsidRPr="00BC07D5">
        <w:rPr>
          <w:rFonts w:ascii="仿宋" w:eastAsia="仿宋" w:hAnsi="仿宋" w:cs="Times New Roman"/>
          <w:color w:val="000000"/>
          <w:sz w:val="32"/>
          <w:szCs w:val="32"/>
        </w:rPr>
        <w:t>，制定本办法。</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第二条【适用范围】本办法适用于经中国人民银行批准设立的金融控股公司，以及金融控股公司及其附属机构共同构成的金融</w:t>
      </w:r>
      <w:r w:rsidRPr="00BC07D5">
        <w:rPr>
          <w:rFonts w:ascii="仿宋" w:eastAsia="仿宋" w:hAnsi="仿宋" w:cs="Times New Roman" w:hint="eastAsia"/>
          <w:color w:val="000000"/>
          <w:sz w:val="32"/>
          <w:szCs w:val="32"/>
        </w:rPr>
        <w:t>控股</w:t>
      </w:r>
      <w:r w:rsidRPr="00BC07D5">
        <w:rPr>
          <w:rFonts w:ascii="仿宋" w:eastAsia="仿宋" w:hAnsi="仿宋" w:cs="Times New Roman"/>
          <w:color w:val="000000"/>
          <w:sz w:val="32"/>
          <w:szCs w:val="32"/>
        </w:rPr>
        <w:t>集团。</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本办法所称金融控股公司附属机构是指纳入金融控股公司并表管理范围的</w:t>
      </w:r>
      <w:r w:rsidRPr="00BC07D5">
        <w:rPr>
          <w:rFonts w:ascii="仿宋" w:eastAsia="仿宋" w:hAnsi="仿宋" w:cs="Times New Roman" w:hint="eastAsia"/>
          <w:color w:val="000000"/>
          <w:sz w:val="32"/>
          <w:szCs w:val="32"/>
        </w:rPr>
        <w:t>所有</w:t>
      </w:r>
      <w:r w:rsidRPr="00BC07D5">
        <w:rPr>
          <w:rFonts w:ascii="仿宋" w:eastAsia="仿宋" w:hAnsi="仿宋" w:cs="Times New Roman"/>
          <w:color w:val="000000"/>
          <w:sz w:val="32"/>
          <w:szCs w:val="32"/>
        </w:rPr>
        <w:t>机构。金融控股公司应当遵循实质重于形式原则，综合考虑实质控制和风险相关性，根据</w:t>
      </w:r>
      <w:r w:rsidRPr="00BC07D5">
        <w:rPr>
          <w:rFonts w:ascii="仿宋" w:eastAsia="仿宋" w:hAnsi="仿宋" w:cs="Times New Roman" w:hint="eastAsia"/>
          <w:color w:val="000000"/>
          <w:sz w:val="32"/>
          <w:szCs w:val="32"/>
        </w:rPr>
        <w:t>《金融控股公司监督管理试行办法》</w:t>
      </w:r>
      <w:r w:rsidRPr="00BC07D5">
        <w:rPr>
          <w:rFonts w:ascii="仿宋" w:eastAsia="仿宋" w:hAnsi="仿宋" w:cs="Times New Roman"/>
          <w:color w:val="000000"/>
          <w:sz w:val="32"/>
          <w:szCs w:val="32"/>
        </w:rPr>
        <w:t>等规定，</w:t>
      </w:r>
      <w:r w:rsidRPr="00BC07D5">
        <w:rPr>
          <w:rFonts w:ascii="仿宋" w:eastAsia="仿宋" w:hAnsi="仿宋" w:cs="Times New Roman"/>
          <w:color w:val="000000"/>
          <w:sz w:val="32"/>
          <w:szCs w:val="32"/>
        </w:rPr>
        <w:t>审慎确定并表管理范围。</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w:t>
      </w:r>
      <w:r w:rsidRPr="00BC07D5">
        <w:rPr>
          <w:rFonts w:ascii="仿宋" w:eastAsia="仿宋" w:hAnsi="仿宋" w:cs="Times New Roman" w:hint="eastAsia"/>
          <w:color w:val="000000"/>
          <w:sz w:val="32"/>
          <w:szCs w:val="32"/>
        </w:rPr>
        <w:t>三</w:t>
      </w:r>
      <w:r w:rsidRPr="00BC07D5">
        <w:rPr>
          <w:rFonts w:ascii="仿宋" w:eastAsia="仿宋" w:hAnsi="仿宋" w:cs="Times New Roman"/>
          <w:color w:val="000000"/>
          <w:sz w:val="32"/>
          <w:szCs w:val="32"/>
        </w:rPr>
        <w:t>条【基本原则】金融控股公司</w:t>
      </w:r>
      <w:r w:rsidRPr="00BC07D5">
        <w:rPr>
          <w:rFonts w:ascii="仿宋" w:eastAsia="仿宋" w:hAnsi="仿宋" w:cs="Times New Roman" w:hint="eastAsia"/>
          <w:color w:val="000000"/>
          <w:sz w:val="32"/>
          <w:szCs w:val="32"/>
        </w:rPr>
        <w:t>开展</w:t>
      </w:r>
      <w:r w:rsidRPr="00BC07D5">
        <w:rPr>
          <w:rFonts w:ascii="仿宋" w:eastAsia="仿宋" w:hAnsi="仿宋" w:cs="Times New Roman"/>
          <w:color w:val="000000"/>
          <w:sz w:val="32"/>
          <w:szCs w:val="32"/>
        </w:rPr>
        <w:t>关联交易</w:t>
      </w:r>
      <w:r w:rsidRPr="00BC07D5">
        <w:rPr>
          <w:rFonts w:ascii="仿宋" w:eastAsia="仿宋" w:hAnsi="仿宋" w:cs="Times New Roman" w:hint="eastAsia"/>
          <w:color w:val="000000"/>
          <w:sz w:val="32"/>
          <w:szCs w:val="32"/>
        </w:rPr>
        <w:t>应当遵守</w:t>
      </w:r>
      <w:r w:rsidRPr="00BC07D5">
        <w:rPr>
          <w:rFonts w:ascii="仿宋" w:eastAsia="仿宋" w:hAnsi="仿宋" w:cs="Times New Roman"/>
          <w:color w:val="000000"/>
          <w:sz w:val="32"/>
          <w:szCs w:val="32"/>
        </w:rPr>
        <w:t>法律</w:t>
      </w:r>
      <w:r w:rsidRPr="00BC07D5">
        <w:rPr>
          <w:rFonts w:ascii="仿宋" w:eastAsia="仿宋" w:hAnsi="仿宋" w:cs="Times New Roman" w:hint="eastAsia"/>
          <w:color w:val="000000"/>
          <w:sz w:val="32"/>
          <w:szCs w:val="32"/>
        </w:rPr>
        <w:t>、行政</w:t>
      </w:r>
      <w:r w:rsidRPr="00BC07D5">
        <w:rPr>
          <w:rFonts w:ascii="仿宋" w:eastAsia="仿宋" w:hAnsi="仿宋" w:cs="Times New Roman"/>
          <w:color w:val="000000"/>
          <w:sz w:val="32"/>
          <w:szCs w:val="32"/>
        </w:rPr>
        <w:t>法规、</w:t>
      </w:r>
      <w:r w:rsidRPr="00BC07D5">
        <w:rPr>
          <w:rFonts w:ascii="仿宋" w:eastAsia="仿宋" w:hAnsi="仿宋" w:cs="Times New Roman" w:hint="eastAsia"/>
          <w:color w:val="000000"/>
          <w:sz w:val="32"/>
          <w:szCs w:val="32"/>
        </w:rPr>
        <w:t>企业</w:t>
      </w:r>
      <w:r w:rsidRPr="00BC07D5">
        <w:rPr>
          <w:rFonts w:ascii="仿宋" w:eastAsia="仿宋" w:hAnsi="仿宋" w:cs="Times New Roman"/>
          <w:color w:val="000000"/>
          <w:sz w:val="32"/>
          <w:szCs w:val="32"/>
        </w:rPr>
        <w:t>财务制度和中国人民银行、国务院金融监督管理机构</w:t>
      </w:r>
      <w:r w:rsidRPr="00BC07D5">
        <w:rPr>
          <w:rFonts w:ascii="仿宋" w:eastAsia="仿宋" w:hAnsi="仿宋" w:cs="Times New Roman" w:hint="eastAsia"/>
          <w:color w:val="000000"/>
          <w:sz w:val="32"/>
          <w:szCs w:val="32"/>
        </w:rPr>
        <w:t>的</w:t>
      </w:r>
      <w:r w:rsidRPr="00BC07D5">
        <w:rPr>
          <w:rFonts w:ascii="仿宋" w:eastAsia="仿宋" w:hAnsi="仿宋" w:cs="Times New Roman"/>
          <w:color w:val="000000"/>
          <w:sz w:val="32"/>
          <w:szCs w:val="32"/>
        </w:rPr>
        <w:t>有关规定</w:t>
      </w:r>
      <w:r w:rsidRPr="00BC07D5">
        <w:rPr>
          <w:rFonts w:ascii="仿宋" w:eastAsia="仿宋" w:hAnsi="仿宋" w:cs="Times New Roman" w:hint="eastAsia"/>
          <w:color w:val="000000"/>
          <w:sz w:val="32"/>
          <w:szCs w:val="32"/>
        </w:rPr>
        <w:t>，</w:t>
      </w:r>
      <w:r w:rsidRPr="00BC07D5">
        <w:rPr>
          <w:rFonts w:ascii="仿宋" w:eastAsia="仿宋" w:hAnsi="仿宋" w:cs="Times New Roman"/>
          <w:color w:val="000000"/>
          <w:sz w:val="32"/>
          <w:szCs w:val="32"/>
        </w:rPr>
        <w:t>并按照企业会计准则进行会</w:t>
      </w:r>
      <w:r w:rsidRPr="00BC07D5">
        <w:rPr>
          <w:rFonts w:ascii="仿宋" w:eastAsia="仿宋" w:hAnsi="仿宋" w:cs="Times New Roman"/>
          <w:color w:val="000000"/>
          <w:sz w:val="32"/>
          <w:szCs w:val="32"/>
        </w:rPr>
        <w:lastRenderedPageBreak/>
        <w:t>计处理，</w:t>
      </w:r>
      <w:r w:rsidRPr="00BC07D5">
        <w:rPr>
          <w:rFonts w:ascii="仿宋" w:eastAsia="仿宋" w:hAnsi="仿宋" w:cs="Times New Roman" w:hint="eastAsia"/>
          <w:color w:val="000000"/>
          <w:sz w:val="32"/>
          <w:szCs w:val="32"/>
        </w:rPr>
        <w:t>遵循诚实信用、穿透识别、合理公允、公开透明和治理独立的原则，强化</w:t>
      </w:r>
      <w:r w:rsidRPr="00BC07D5">
        <w:rPr>
          <w:rFonts w:ascii="仿宋" w:eastAsia="仿宋" w:hAnsi="仿宋" w:cs="Times New Roman"/>
          <w:color w:val="000000"/>
          <w:sz w:val="32"/>
          <w:szCs w:val="32"/>
        </w:rPr>
        <w:t>金融控股集团</w:t>
      </w:r>
      <w:r w:rsidRPr="00BC07D5">
        <w:rPr>
          <w:rFonts w:ascii="仿宋" w:eastAsia="仿宋" w:hAnsi="仿宋" w:cs="Times New Roman" w:hint="eastAsia"/>
          <w:color w:val="000000"/>
          <w:sz w:val="32"/>
          <w:szCs w:val="32"/>
        </w:rPr>
        <w:t>不同法人主体之间的风险隔离。</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w:t>
      </w:r>
      <w:r w:rsidRPr="00BC07D5">
        <w:rPr>
          <w:rFonts w:ascii="仿宋" w:eastAsia="仿宋" w:hAnsi="仿宋" w:cs="Times New Roman" w:hint="eastAsia"/>
          <w:color w:val="000000"/>
          <w:sz w:val="32"/>
          <w:szCs w:val="32"/>
        </w:rPr>
        <w:t>四</w:t>
      </w:r>
      <w:r w:rsidRPr="00BC07D5">
        <w:rPr>
          <w:rFonts w:ascii="仿宋" w:eastAsia="仿宋" w:hAnsi="仿宋" w:cs="Times New Roman"/>
          <w:color w:val="000000"/>
          <w:sz w:val="32"/>
          <w:szCs w:val="32"/>
        </w:rPr>
        <w:t>条【总体要求】金融控股公司应当建立健全关联交易管理、报告和披露制度</w:t>
      </w:r>
      <w:r w:rsidRPr="00BC07D5">
        <w:rPr>
          <w:rFonts w:ascii="仿宋" w:eastAsia="仿宋" w:hAnsi="仿宋" w:cs="Times New Roman" w:hint="eastAsia"/>
          <w:color w:val="000000"/>
          <w:sz w:val="32"/>
          <w:szCs w:val="32"/>
        </w:rPr>
        <w:t>，</w:t>
      </w:r>
      <w:bookmarkStart w:id="0" w:name="_Hlk98774866"/>
      <w:r w:rsidRPr="00BC07D5">
        <w:rPr>
          <w:rFonts w:ascii="仿宋" w:eastAsia="仿宋" w:hAnsi="仿宋" w:cs="Times New Roman" w:hint="eastAsia"/>
          <w:color w:val="000000"/>
          <w:sz w:val="32"/>
          <w:szCs w:val="32"/>
        </w:rPr>
        <w:t>强化金融控股公司本级和附属机构关联交易、集团内部交易和集团对外关联交易管理，提升集团风险管理和内部控制水平。</w:t>
      </w:r>
      <w:bookmarkEnd w:id="0"/>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金融控股公司承担对金融控股集团关联交易管理的主体责任，按照实质重于形式和穿透原则，准确、全面、及时识别关联方和关联交易，</w:t>
      </w:r>
      <w:r w:rsidRPr="00BC07D5">
        <w:rPr>
          <w:rFonts w:ascii="仿宋" w:eastAsia="仿宋" w:hAnsi="仿宋" w:cs="Times New Roman"/>
          <w:color w:val="000000"/>
          <w:sz w:val="32"/>
          <w:szCs w:val="32"/>
        </w:rPr>
        <w:t>推动</w:t>
      </w:r>
      <w:r w:rsidRPr="00BC07D5">
        <w:rPr>
          <w:rFonts w:ascii="仿宋" w:eastAsia="仿宋" w:hAnsi="仿宋" w:cs="Times New Roman" w:hint="eastAsia"/>
          <w:color w:val="000000"/>
          <w:sz w:val="32"/>
          <w:szCs w:val="32"/>
        </w:rPr>
        <w:t>整个金融控股集团规范开展关联交易</w:t>
      </w:r>
      <w:r w:rsidRPr="00BC07D5">
        <w:rPr>
          <w:rFonts w:ascii="仿宋" w:eastAsia="仿宋" w:hAnsi="仿宋" w:cs="Times New Roman"/>
          <w:color w:val="000000"/>
          <w:sz w:val="32"/>
          <w:szCs w:val="32"/>
        </w:rPr>
        <w:t>。</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金融控股公司或其</w:t>
      </w:r>
      <w:r w:rsidRPr="00BC07D5">
        <w:rPr>
          <w:rFonts w:ascii="仿宋" w:eastAsia="仿宋" w:hAnsi="仿宋" w:cs="Times New Roman" w:hint="eastAsia"/>
          <w:color w:val="000000"/>
          <w:sz w:val="32"/>
          <w:szCs w:val="32"/>
        </w:rPr>
        <w:t>附属机构</w:t>
      </w:r>
      <w:r w:rsidRPr="00BC07D5">
        <w:rPr>
          <w:rFonts w:ascii="仿宋" w:eastAsia="仿宋" w:hAnsi="仿宋" w:cs="Times New Roman"/>
          <w:color w:val="000000"/>
          <w:sz w:val="32"/>
          <w:szCs w:val="32"/>
        </w:rPr>
        <w:t>是上市公司的，关联方的认定和关联交易的管</w:t>
      </w:r>
      <w:r w:rsidRPr="00BC07D5">
        <w:rPr>
          <w:rFonts w:ascii="仿宋" w:eastAsia="仿宋" w:hAnsi="仿宋" w:cs="Times New Roman"/>
          <w:color w:val="000000"/>
          <w:sz w:val="32"/>
          <w:szCs w:val="32"/>
        </w:rPr>
        <w:t>理、报告和披露还应当符合国务院证券监督管理机构和证券交易所的有关规定。附属机构是金融机构的，关联方的认定和关联交易的管理、报告和披露还应当符合国务院金融监督管理机构的有关规定。</w:t>
      </w:r>
    </w:p>
    <w:p w:rsidR="00093110" w:rsidRPr="00BC07D5" w:rsidRDefault="00550CEA">
      <w:pPr>
        <w:ind w:firstLineChars="200" w:firstLine="640"/>
        <w:rPr>
          <w:rFonts w:ascii="仿宋" w:eastAsia="仿宋" w:hAnsi="仿宋" w:cs="Times New Roman"/>
          <w:color w:val="000000"/>
          <w:sz w:val="32"/>
          <w:szCs w:val="32"/>
          <w:u w:val="single"/>
        </w:rPr>
      </w:pPr>
      <w:r w:rsidRPr="00BC07D5">
        <w:rPr>
          <w:rFonts w:ascii="仿宋" w:eastAsia="仿宋" w:hAnsi="仿宋" w:cs="Times New Roman"/>
          <w:color w:val="000000"/>
          <w:sz w:val="32"/>
          <w:szCs w:val="32"/>
        </w:rPr>
        <w:t>第五条【监管部门】中国人民银行依法对金融控股公司的关联交易实施监督管理。中国人民银行副省级城市中心支行以上分支机构</w:t>
      </w:r>
      <w:r w:rsidRPr="00BC07D5">
        <w:rPr>
          <w:rFonts w:ascii="仿宋" w:eastAsia="仿宋" w:hAnsi="仿宋" w:cs="Times New Roman" w:hint="eastAsia"/>
          <w:color w:val="000000"/>
          <w:sz w:val="32"/>
          <w:szCs w:val="32"/>
        </w:rPr>
        <w:t>（以下简称中国人民银行分支机构）</w:t>
      </w:r>
      <w:r w:rsidRPr="00BC07D5">
        <w:rPr>
          <w:rFonts w:ascii="仿宋" w:eastAsia="仿宋" w:hAnsi="仿宋" w:cs="Times New Roman"/>
          <w:color w:val="000000"/>
          <w:sz w:val="32"/>
          <w:szCs w:val="32"/>
        </w:rPr>
        <w:t>可以依照本规定开展相关工作。</w:t>
      </w:r>
    </w:p>
    <w:p w:rsidR="00093110" w:rsidRPr="00BC07D5" w:rsidRDefault="00093110">
      <w:pPr>
        <w:jc w:val="center"/>
        <w:rPr>
          <w:rFonts w:ascii="仿宋" w:eastAsia="仿宋" w:hAnsi="仿宋" w:cs="Times New Roman"/>
          <w:color w:val="000000"/>
          <w:sz w:val="32"/>
          <w:szCs w:val="32"/>
        </w:rPr>
      </w:pPr>
    </w:p>
    <w:p w:rsidR="00093110" w:rsidRPr="00BC07D5" w:rsidRDefault="00550CEA" w:rsidP="00BC07D5">
      <w:pPr>
        <w:jc w:val="center"/>
        <w:rPr>
          <w:rFonts w:ascii="仿宋" w:eastAsia="仿宋" w:hAnsi="仿宋" w:cs="Times New Roman" w:hint="eastAsia"/>
          <w:b/>
          <w:color w:val="000000"/>
          <w:sz w:val="32"/>
          <w:szCs w:val="32"/>
        </w:rPr>
      </w:pPr>
      <w:r w:rsidRPr="00BC07D5">
        <w:rPr>
          <w:rFonts w:ascii="仿宋" w:eastAsia="仿宋" w:hAnsi="仿宋" w:cs="Times New Roman"/>
          <w:b/>
          <w:color w:val="000000"/>
          <w:sz w:val="32"/>
          <w:szCs w:val="32"/>
        </w:rPr>
        <w:t>第二章</w:t>
      </w:r>
      <w:r w:rsidRPr="00BC07D5">
        <w:rPr>
          <w:rFonts w:ascii="仿宋" w:eastAsia="仿宋" w:hAnsi="仿宋" w:cs="Times New Roman"/>
          <w:b/>
          <w:color w:val="000000"/>
          <w:sz w:val="32"/>
          <w:szCs w:val="32"/>
        </w:rPr>
        <w:t xml:space="preserve"> </w:t>
      </w:r>
      <w:r w:rsidRPr="00BC07D5">
        <w:rPr>
          <w:rFonts w:ascii="仿宋" w:eastAsia="仿宋" w:hAnsi="仿宋" w:cs="Times New Roman" w:hint="eastAsia"/>
          <w:b/>
          <w:color w:val="000000"/>
          <w:sz w:val="32"/>
          <w:szCs w:val="32"/>
        </w:rPr>
        <w:t>金融控股公司本级的</w:t>
      </w:r>
      <w:r w:rsidRPr="00BC07D5">
        <w:rPr>
          <w:rFonts w:ascii="仿宋" w:eastAsia="仿宋" w:hAnsi="仿宋" w:cs="Times New Roman"/>
          <w:b/>
          <w:color w:val="000000"/>
          <w:sz w:val="32"/>
          <w:szCs w:val="32"/>
        </w:rPr>
        <w:t>关联方</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lastRenderedPageBreak/>
        <w:t>第六条【关联方定义】金融控股公司本级的关联方，是指与金融控股公司存在一方控制另一方，或对另一方施加重大影响，以及与金融控</w:t>
      </w:r>
      <w:r w:rsidRPr="00BC07D5">
        <w:rPr>
          <w:rFonts w:ascii="仿宋" w:eastAsia="仿宋" w:hAnsi="仿宋" w:cs="Times New Roman" w:hint="eastAsia"/>
          <w:color w:val="000000"/>
          <w:sz w:val="32"/>
          <w:szCs w:val="32"/>
        </w:rPr>
        <w:t>股公司同受一方控制或重大影响的自然人、法人</w:t>
      </w:r>
      <w:r w:rsidRPr="00BC07D5">
        <w:rPr>
          <w:rFonts w:ascii="仿宋" w:eastAsia="仿宋" w:hAnsi="仿宋" w:cs="Times New Roman"/>
          <w:color w:val="000000"/>
          <w:sz w:val="32"/>
          <w:szCs w:val="32"/>
        </w:rPr>
        <w:t>、</w:t>
      </w:r>
      <w:r w:rsidRPr="00BC07D5">
        <w:rPr>
          <w:rFonts w:ascii="仿宋" w:eastAsia="仿宋" w:hAnsi="仿宋" w:cs="Times New Roman" w:hint="eastAsia"/>
          <w:color w:val="000000"/>
          <w:sz w:val="32"/>
          <w:szCs w:val="32"/>
        </w:rPr>
        <w:t>非法人组织</w:t>
      </w:r>
      <w:r w:rsidRPr="00BC07D5">
        <w:rPr>
          <w:rFonts w:ascii="仿宋" w:eastAsia="仿宋" w:hAnsi="仿宋" w:cs="Times New Roman"/>
          <w:color w:val="000000"/>
          <w:sz w:val="32"/>
          <w:szCs w:val="32"/>
        </w:rPr>
        <w:t>或中国人民银行认定的其他主体等</w:t>
      </w:r>
      <w:r w:rsidRPr="00BC07D5">
        <w:rPr>
          <w:rFonts w:ascii="仿宋" w:eastAsia="仿宋" w:hAnsi="仿宋" w:cs="Times New Roman" w:hint="eastAsia"/>
          <w:color w:val="000000"/>
          <w:sz w:val="32"/>
          <w:szCs w:val="32"/>
        </w:rPr>
        <w:t>。金融控股公司本级的关联方包括股东类关联方、内部人关联方以及附属机构。</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第七条【股东类关联方】金融控股公司本级的股东类关联方包括：</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（一）【控股股东】金融控股公司的控股股东、实际控制人，及其一致行动人、受益所有人；</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（二）【主要股东】金融控股公司的主要股东及其控股股东、实际控制人、一致行动人、受益所有人；</w:t>
      </w:r>
    </w:p>
    <w:p w:rsidR="00093110" w:rsidRPr="00BC07D5" w:rsidRDefault="00550CEA">
      <w:pPr>
        <w:ind w:firstLineChars="200" w:firstLine="640"/>
        <w:rPr>
          <w:rFonts w:ascii="仿宋" w:eastAsia="仿宋" w:hAnsi="仿宋" w:cs="Times New Roman" w:hint="eastAsia"/>
          <w:color w:val="000000"/>
          <w:sz w:val="32"/>
          <w:szCs w:val="32"/>
        </w:rPr>
      </w:pPr>
      <w:r w:rsidRPr="00BC07D5">
        <w:rPr>
          <w:rFonts w:ascii="仿宋" w:eastAsia="仿宋" w:hAnsi="仿宋" w:cs="Times New Roman"/>
          <w:color w:val="000000"/>
          <w:sz w:val="32"/>
          <w:szCs w:val="32"/>
        </w:rPr>
        <w:t>（三）【关联自然人延伸】本条第（一）（二）项所列关联自然人的配偶、父母、成年子女及兄弟姐妹，以及所列关联法人</w:t>
      </w:r>
      <w:r w:rsidRPr="00BC07D5">
        <w:rPr>
          <w:rFonts w:ascii="仿宋" w:eastAsia="仿宋" w:hAnsi="仿宋" w:cs="Times New Roman" w:hint="eastAsia"/>
          <w:color w:val="000000"/>
          <w:sz w:val="32"/>
          <w:szCs w:val="32"/>
        </w:rPr>
        <w:t>或非法人组织</w:t>
      </w:r>
      <w:r w:rsidR="00BF17A7">
        <w:rPr>
          <w:rFonts w:ascii="仿宋" w:eastAsia="仿宋" w:hAnsi="仿宋" w:cs="Times New Roman"/>
          <w:color w:val="000000"/>
          <w:sz w:val="32"/>
          <w:szCs w:val="32"/>
        </w:rPr>
        <w:t>的董事、监事、高级管理人员</w:t>
      </w:r>
      <w:r w:rsidR="00BF17A7">
        <w:rPr>
          <w:rFonts w:ascii="仿宋" w:eastAsia="仿宋" w:hAnsi="仿宋" w:cs="Times New Roman" w:hint="eastAsia"/>
          <w:color w:val="000000"/>
          <w:sz w:val="32"/>
          <w:szCs w:val="32"/>
        </w:rPr>
        <w:t>；</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（四）【关联法人</w:t>
      </w:r>
      <w:r w:rsidRPr="00BC07D5">
        <w:rPr>
          <w:rFonts w:ascii="仿宋" w:eastAsia="仿宋" w:hAnsi="仿宋" w:cs="Times New Roman" w:hint="eastAsia"/>
          <w:color w:val="000000"/>
          <w:sz w:val="32"/>
          <w:szCs w:val="32"/>
        </w:rPr>
        <w:t>或非法人组织</w:t>
      </w:r>
      <w:r w:rsidRPr="00BC07D5">
        <w:rPr>
          <w:rFonts w:ascii="仿宋" w:eastAsia="仿宋" w:hAnsi="仿宋" w:cs="Times New Roman"/>
          <w:color w:val="000000"/>
          <w:sz w:val="32"/>
          <w:szCs w:val="32"/>
        </w:rPr>
        <w:t>延伸】本条第（一）项所列关联方控制或施加重大影响的法人或非法人组织，本条第（二）项所列关联方控制的法人或非法人组织，以及本条第（一）（二）项所列关联自然人的配偶、父母、成年子女及兄弟姐妹控制的法人或非法人组织。</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w:t>
      </w:r>
      <w:r w:rsidRPr="00BC07D5">
        <w:rPr>
          <w:rFonts w:ascii="仿宋" w:eastAsia="仿宋" w:hAnsi="仿宋" w:cs="Times New Roman" w:hint="eastAsia"/>
          <w:color w:val="000000"/>
          <w:sz w:val="32"/>
          <w:szCs w:val="32"/>
        </w:rPr>
        <w:t>八</w:t>
      </w:r>
      <w:r w:rsidRPr="00BC07D5">
        <w:rPr>
          <w:rFonts w:ascii="仿宋" w:eastAsia="仿宋" w:hAnsi="仿宋" w:cs="Times New Roman"/>
          <w:color w:val="000000"/>
          <w:sz w:val="32"/>
          <w:szCs w:val="32"/>
        </w:rPr>
        <w:t>条【内部人关联方】金融控股公司</w:t>
      </w:r>
      <w:r w:rsidRPr="00BC07D5">
        <w:rPr>
          <w:rFonts w:ascii="仿宋" w:eastAsia="仿宋" w:hAnsi="仿宋" w:cs="Times New Roman" w:hint="eastAsia"/>
          <w:color w:val="000000"/>
          <w:sz w:val="32"/>
          <w:szCs w:val="32"/>
        </w:rPr>
        <w:t>本级</w:t>
      </w:r>
      <w:r w:rsidRPr="00BC07D5">
        <w:rPr>
          <w:rFonts w:ascii="仿宋" w:eastAsia="仿宋" w:hAnsi="仿宋" w:cs="Times New Roman"/>
          <w:color w:val="000000"/>
          <w:sz w:val="32"/>
          <w:szCs w:val="32"/>
        </w:rPr>
        <w:t>的内部人关联方包括：</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lastRenderedPageBreak/>
        <w:t>（一）【管理层】金融控股公司的董事、监事、高级管理人员以及</w:t>
      </w:r>
      <w:bookmarkStart w:id="1" w:name="_Hlk97195855"/>
      <w:r w:rsidRPr="00BC07D5">
        <w:rPr>
          <w:rFonts w:ascii="仿宋" w:eastAsia="仿宋" w:hAnsi="仿宋" w:cs="Times New Roman"/>
          <w:color w:val="000000"/>
          <w:sz w:val="32"/>
          <w:szCs w:val="32"/>
        </w:rPr>
        <w:t>具有投融资决策等核心业务审批或决策权</w:t>
      </w:r>
      <w:bookmarkEnd w:id="1"/>
      <w:r w:rsidRPr="00BC07D5">
        <w:rPr>
          <w:rFonts w:ascii="仿宋" w:eastAsia="仿宋" w:hAnsi="仿宋" w:cs="Times New Roman"/>
          <w:color w:val="000000"/>
          <w:sz w:val="32"/>
          <w:szCs w:val="32"/>
        </w:rPr>
        <w:t>的人员；</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（二）【关联自然人延伸】本条第（一）项所列关联方的配偶、父母、成年子女及兄弟姐</w:t>
      </w:r>
      <w:r w:rsidRPr="00BC07D5">
        <w:rPr>
          <w:rFonts w:ascii="仿宋" w:eastAsia="仿宋" w:hAnsi="仿宋" w:cs="Times New Roman"/>
          <w:color w:val="000000"/>
          <w:sz w:val="32"/>
          <w:szCs w:val="32"/>
        </w:rPr>
        <w:t>妹；</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（三）【关联法人</w:t>
      </w:r>
      <w:r w:rsidRPr="00BC07D5">
        <w:rPr>
          <w:rFonts w:ascii="仿宋" w:eastAsia="仿宋" w:hAnsi="仿宋" w:cs="Times New Roman" w:hint="eastAsia"/>
          <w:color w:val="000000"/>
          <w:sz w:val="32"/>
          <w:szCs w:val="32"/>
        </w:rPr>
        <w:t>或非法人组织</w:t>
      </w:r>
      <w:r w:rsidRPr="00BC07D5">
        <w:rPr>
          <w:rFonts w:ascii="仿宋" w:eastAsia="仿宋" w:hAnsi="仿宋" w:cs="Times New Roman"/>
          <w:color w:val="000000"/>
          <w:sz w:val="32"/>
          <w:szCs w:val="32"/>
        </w:rPr>
        <w:t>延伸】本条第（一）（二）项所列关联方控制的法人或非法人组织。</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w:t>
      </w:r>
      <w:r w:rsidRPr="00BC07D5">
        <w:rPr>
          <w:rFonts w:ascii="仿宋" w:eastAsia="仿宋" w:hAnsi="仿宋" w:cs="Times New Roman" w:hint="eastAsia"/>
          <w:color w:val="000000"/>
          <w:sz w:val="32"/>
          <w:szCs w:val="32"/>
        </w:rPr>
        <w:t>九</w:t>
      </w:r>
      <w:r w:rsidRPr="00BC07D5">
        <w:rPr>
          <w:rFonts w:ascii="仿宋" w:eastAsia="仿宋" w:hAnsi="仿宋" w:cs="Times New Roman"/>
          <w:color w:val="000000"/>
          <w:sz w:val="32"/>
          <w:szCs w:val="32"/>
        </w:rPr>
        <w:t>条【</w:t>
      </w:r>
      <w:r w:rsidRPr="00BC07D5">
        <w:rPr>
          <w:rFonts w:ascii="仿宋" w:eastAsia="仿宋" w:hAnsi="仿宋" w:cs="Times New Roman" w:hint="eastAsia"/>
          <w:color w:val="000000"/>
          <w:sz w:val="32"/>
          <w:szCs w:val="32"/>
        </w:rPr>
        <w:t>金控穿透</w:t>
      </w:r>
      <w:r w:rsidRPr="00BC07D5">
        <w:rPr>
          <w:rFonts w:ascii="仿宋" w:eastAsia="仿宋" w:hAnsi="仿宋" w:cs="Times New Roman"/>
          <w:color w:val="000000"/>
          <w:sz w:val="32"/>
          <w:szCs w:val="32"/>
        </w:rPr>
        <w:t>认定关联方】金融控股公司按照实质重于形式和穿透的原则，可以认定以下自然人、法人或非法人组织为金融控股公司</w:t>
      </w:r>
      <w:r w:rsidRPr="00BC07D5">
        <w:rPr>
          <w:rFonts w:ascii="仿宋" w:eastAsia="仿宋" w:hAnsi="仿宋" w:cs="Times New Roman" w:hint="eastAsia"/>
          <w:color w:val="000000"/>
          <w:sz w:val="32"/>
          <w:szCs w:val="32"/>
        </w:rPr>
        <w:t>本级</w:t>
      </w:r>
      <w:r w:rsidRPr="00BC07D5">
        <w:rPr>
          <w:rFonts w:ascii="仿宋" w:eastAsia="仿宋" w:hAnsi="仿宋" w:cs="Times New Roman"/>
          <w:color w:val="000000"/>
          <w:sz w:val="32"/>
          <w:szCs w:val="32"/>
        </w:rPr>
        <w:t>的关联方：</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（一）在过去十二个月内或者根据相关协议安排在未来十二个月内存在本办法第</w:t>
      </w:r>
      <w:r w:rsidRPr="00BC07D5">
        <w:rPr>
          <w:rFonts w:ascii="仿宋" w:eastAsia="仿宋" w:hAnsi="仿宋" w:cs="Times New Roman" w:hint="eastAsia"/>
          <w:color w:val="000000"/>
          <w:sz w:val="32"/>
          <w:szCs w:val="32"/>
        </w:rPr>
        <w:t>七</w:t>
      </w:r>
      <w:r w:rsidRPr="00BC07D5">
        <w:rPr>
          <w:rFonts w:ascii="仿宋" w:eastAsia="仿宋" w:hAnsi="仿宋" w:cs="Times New Roman"/>
          <w:color w:val="000000"/>
          <w:sz w:val="32"/>
          <w:szCs w:val="32"/>
        </w:rPr>
        <w:t>条、第</w:t>
      </w:r>
      <w:r w:rsidRPr="00BC07D5">
        <w:rPr>
          <w:rFonts w:ascii="仿宋" w:eastAsia="仿宋" w:hAnsi="仿宋" w:cs="Times New Roman" w:hint="eastAsia"/>
          <w:color w:val="000000"/>
          <w:sz w:val="32"/>
          <w:szCs w:val="32"/>
        </w:rPr>
        <w:t>八</w:t>
      </w:r>
      <w:r w:rsidRPr="00BC07D5">
        <w:rPr>
          <w:rFonts w:ascii="仿宋" w:eastAsia="仿宋" w:hAnsi="仿宋" w:cs="Times New Roman"/>
          <w:color w:val="000000"/>
          <w:sz w:val="32"/>
          <w:szCs w:val="32"/>
        </w:rPr>
        <w:t>条规定情形之一的；</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（二）本办法第七条（一）（二）项以及第八条（一）项所列关联方的其他关系密切的家庭成员；</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（三）本办法第</w:t>
      </w:r>
      <w:r w:rsidRPr="00BC07D5">
        <w:rPr>
          <w:rFonts w:ascii="仿宋" w:eastAsia="仿宋" w:hAnsi="仿宋" w:cs="Times New Roman" w:hint="eastAsia"/>
          <w:color w:val="000000"/>
          <w:sz w:val="32"/>
          <w:szCs w:val="32"/>
        </w:rPr>
        <w:t>七</w:t>
      </w:r>
      <w:r w:rsidRPr="00BC07D5">
        <w:rPr>
          <w:rFonts w:ascii="仿宋" w:eastAsia="仿宋" w:hAnsi="仿宋" w:cs="Times New Roman"/>
          <w:color w:val="000000"/>
          <w:sz w:val="32"/>
          <w:szCs w:val="32"/>
        </w:rPr>
        <w:t>条第（二）项，以及第</w:t>
      </w:r>
      <w:r w:rsidRPr="00BC07D5">
        <w:rPr>
          <w:rFonts w:ascii="仿宋" w:eastAsia="仿宋" w:hAnsi="仿宋" w:cs="Times New Roman" w:hint="eastAsia"/>
          <w:color w:val="000000"/>
          <w:sz w:val="32"/>
          <w:szCs w:val="32"/>
        </w:rPr>
        <w:t>八</w:t>
      </w:r>
      <w:r w:rsidRPr="00BC07D5">
        <w:rPr>
          <w:rFonts w:ascii="仿宋" w:eastAsia="仿宋" w:hAnsi="仿宋" w:cs="Times New Roman"/>
          <w:color w:val="000000"/>
          <w:sz w:val="32"/>
          <w:szCs w:val="32"/>
        </w:rPr>
        <w:t>条第（一）项所列关联方可施加重大影响的法人或非法人组织；</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w:t>
      </w:r>
      <w:r w:rsidRPr="00BC07D5">
        <w:rPr>
          <w:rFonts w:ascii="仿宋" w:eastAsia="仿宋" w:hAnsi="仿宋" w:cs="Times New Roman"/>
          <w:color w:val="000000"/>
          <w:sz w:val="32"/>
          <w:szCs w:val="32"/>
        </w:rPr>
        <w:t>四</w:t>
      </w:r>
      <w:r w:rsidRPr="00BC07D5">
        <w:rPr>
          <w:rFonts w:ascii="仿宋" w:eastAsia="仿宋" w:hAnsi="仿宋" w:cs="Times New Roman" w:hint="eastAsia"/>
          <w:color w:val="000000"/>
          <w:sz w:val="32"/>
          <w:szCs w:val="32"/>
        </w:rPr>
        <w:t>）附属机构的</w:t>
      </w:r>
      <w:r w:rsidRPr="00BC07D5">
        <w:rPr>
          <w:rFonts w:ascii="仿宋" w:eastAsia="仿宋" w:hAnsi="仿宋" w:cs="Times New Roman"/>
          <w:color w:val="000000"/>
          <w:sz w:val="32"/>
          <w:szCs w:val="32"/>
        </w:rPr>
        <w:t>重要</w:t>
      </w:r>
      <w:r w:rsidRPr="00BC07D5">
        <w:rPr>
          <w:rFonts w:ascii="仿宋" w:eastAsia="仿宋" w:hAnsi="仿宋" w:cs="Times New Roman" w:hint="eastAsia"/>
          <w:color w:val="000000"/>
          <w:sz w:val="32"/>
          <w:szCs w:val="32"/>
        </w:rPr>
        <w:t>关联方；</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（五）对金融控股公司有影响，与金融控股公司或其附属机构发生或可能发生未遵守商业合理原则、有失公允的交易行为，并可从交易中获得利益的自然人、法人或非法人组织。</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第十条【监管穿透认定关联方】</w:t>
      </w:r>
      <w:r w:rsidRPr="00BC07D5">
        <w:rPr>
          <w:rFonts w:ascii="仿宋" w:eastAsia="仿宋" w:hAnsi="仿宋" w:cs="Times New Roman"/>
          <w:color w:val="000000"/>
          <w:sz w:val="32"/>
          <w:szCs w:val="32"/>
        </w:rPr>
        <w:t>中国人民银行</w:t>
      </w:r>
      <w:r w:rsidRPr="00BC07D5">
        <w:rPr>
          <w:rFonts w:ascii="仿宋" w:eastAsia="仿宋" w:hAnsi="仿宋" w:cs="Times New Roman" w:hint="eastAsia"/>
          <w:color w:val="000000"/>
          <w:sz w:val="32"/>
          <w:szCs w:val="32"/>
        </w:rPr>
        <w:t>及其分支</w:t>
      </w:r>
      <w:r w:rsidRPr="00BC07D5">
        <w:rPr>
          <w:rFonts w:ascii="仿宋" w:eastAsia="仿宋" w:hAnsi="仿宋" w:cs="Times New Roman" w:hint="eastAsia"/>
          <w:color w:val="000000"/>
          <w:sz w:val="32"/>
          <w:szCs w:val="32"/>
        </w:rPr>
        <w:lastRenderedPageBreak/>
        <w:t>机构</w:t>
      </w:r>
      <w:r w:rsidRPr="00BC07D5">
        <w:rPr>
          <w:rFonts w:ascii="仿宋" w:eastAsia="仿宋" w:hAnsi="仿宋" w:cs="Times New Roman"/>
          <w:color w:val="000000"/>
          <w:sz w:val="32"/>
          <w:szCs w:val="32"/>
        </w:rPr>
        <w:t>可以根据实质重于形式和穿透的原则，认定可能导致金融控股公司或其附属机构利益不当转移的自然人、法人或非法人组织为</w:t>
      </w:r>
      <w:r w:rsidRPr="00BC07D5">
        <w:rPr>
          <w:rFonts w:ascii="仿宋" w:eastAsia="仿宋" w:hAnsi="仿宋" w:cs="Times New Roman" w:hint="eastAsia"/>
          <w:color w:val="000000"/>
          <w:sz w:val="32"/>
          <w:szCs w:val="32"/>
        </w:rPr>
        <w:t>金融控股公司本级的</w:t>
      </w:r>
      <w:r w:rsidRPr="00BC07D5">
        <w:rPr>
          <w:rFonts w:ascii="仿宋" w:eastAsia="仿宋" w:hAnsi="仿宋" w:cs="Times New Roman"/>
          <w:color w:val="000000"/>
          <w:sz w:val="32"/>
          <w:szCs w:val="32"/>
        </w:rPr>
        <w:t>关联方。</w:t>
      </w:r>
    </w:p>
    <w:p w:rsidR="00093110" w:rsidRPr="00BC07D5" w:rsidRDefault="00093110">
      <w:pPr>
        <w:ind w:firstLineChars="200" w:firstLine="640"/>
        <w:rPr>
          <w:rFonts w:ascii="仿宋" w:eastAsia="仿宋" w:hAnsi="仿宋" w:cs="Times New Roman"/>
          <w:color w:val="000000"/>
          <w:sz w:val="32"/>
          <w:szCs w:val="32"/>
        </w:rPr>
      </w:pPr>
    </w:p>
    <w:p w:rsidR="00093110" w:rsidRPr="00BC07D5" w:rsidRDefault="00550CEA">
      <w:pPr>
        <w:jc w:val="center"/>
        <w:rPr>
          <w:rFonts w:ascii="仿宋" w:eastAsia="仿宋" w:hAnsi="仿宋" w:cs="Times New Roman"/>
          <w:b/>
          <w:color w:val="000000"/>
          <w:sz w:val="32"/>
          <w:szCs w:val="32"/>
        </w:rPr>
      </w:pPr>
      <w:r w:rsidRPr="00BC07D5">
        <w:rPr>
          <w:rFonts w:ascii="仿宋" w:eastAsia="仿宋" w:hAnsi="仿宋" w:cs="Times New Roman" w:hint="eastAsia"/>
          <w:b/>
          <w:color w:val="000000"/>
          <w:sz w:val="32"/>
          <w:szCs w:val="32"/>
        </w:rPr>
        <w:t>第三章</w:t>
      </w:r>
      <w:r w:rsidRPr="00BC07D5">
        <w:rPr>
          <w:rFonts w:ascii="仿宋" w:eastAsia="仿宋" w:hAnsi="仿宋" w:cs="Times New Roman" w:hint="eastAsia"/>
          <w:b/>
          <w:color w:val="000000"/>
          <w:sz w:val="32"/>
          <w:szCs w:val="32"/>
        </w:rPr>
        <w:t xml:space="preserve"> </w:t>
      </w:r>
      <w:r w:rsidRPr="00BC07D5">
        <w:rPr>
          <w:rFonts w:ascii="仿宋" w:eastAsia="仿宋" w:hAnsi="仿宋" w:cs="Times New Roman" w:hint="eastAsia"/>
          <w:b/>
          <w:color w:val="000000"/>
          <w:sz w:val="32"/>
          <w:szCs w:val="32"/>
        </w:rPr>
        <w:t>金融控股公司的关联交易</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第十一条【穿透认定关联交易】</w:t>
      </w:r>
      <w:r w:rsidRPr="00BC07D5">
        <w:rPr>
          <w:rFonts w:ascii="仿宋" w:eastAsia="仿宋" w:hAnsi="仿宋" w:cs="Times New Roman"/>
          <w:color w:val="000000"/>
          <w:sz w:val="32"/>
          <w:szCs w:val="32"/>
        </w:rPr>
        <w:t>金融控股公司应当按照实质重于形式和穿透原则，识别、认定、管理关联交易</w:t>
      </w:r>
      <w:r w:rsidRPr="00BC07D5">
        <w:rPr>
          <w:rFonts w:ascii="仿宋" w:eastAsia="仿宋" w:hAnsi="仿宋" w:cs="Times New Roman" w:hint="eastAsia"/>
          <w:color w:val="000000"/>
          <w:sz w:val="32"/>
          <w:szCs w:val="32"/>
        </w:rPr>
        <w:t>并</w:t>
      </w:r>
      <w:r w:rsidRPr="00BC07D5">
        <w:rPr>
          <w:rFonts w:ascii="仿宋" w:eastAsia="仿宋" w:hAnsi="仿宋" w:cs="Times New Roman"/>
          <w:color w:val="000000"/>
          <w:sz w:val="32"/>
          <w:szCs w:val="32"/>
        </w:rPr>
        <w:t>计算关联交易金额</w:t>
      </w:r>
      <w:r w:rsidRPr="00BC07D5">
        <w:rPr>
          <w:rFonts w:ascii="仿宋" w:eastAsia="仿宋" w:hAnsi="仿宋" w:cs="Times New Roman" w:hint="eastAsia"/>
          <w:color w:val="000000"/>
          <w:sz w:val="32"/>
          <w:szCs w:val="32"/>
        </w:rPr>
        <w:t>。</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中国人民银行及其分支机构可以按照实质重于形式和穿透原则，识别、认定金融控股公司的关联交易和规模。</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第十二条【按交易主体分】按照交易主体的不同，金融控股公司的关联交易包括：</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（一）本级的关联交易，指金融控股公司与其关联方之间发生的</w:t>
      </w:r>
      <w:r w:rsidRPr="00BC07D5">
        <w:rPr>
          <w:rFonts w:ascii="仿宋" w:eastAsia="仿宋" w:hAnsi="仿宋" w:cs="Times New Roman"/>
          <w:color w:val="000000"/>
          <w:sz w:val="32"/>
          <w:szCs w:val="32"/>
        </w:rPr>
        <w:t>转移资源、劳务或义务的行为</w:t>
      </w:r>
      <w:r w:rsidRPr="00BC07D5">
        <w:rPr>
          <w:rFonts w:ascii="仿宋" w:eastAsia="仿宋" w:hAnsi="仿宋" w:cs="Times New Roman" w:hint="eastAsia"/>
          <w:color w:val="000000"/>
          <w:sz w:val="32"/>
          <w:szCs w:val="32"/>
        </w:rPr>
        <w:t>；</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（二）附属机构的关联交易，指金融控股公司附属机构与其关联方之间发生的转移资源、劳务或义务的行为。</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第十三条【按管理目标分】按照管理目标的不同，金融控股公司</w:t>
      </w:r>
      <w:r w:rsidRPr="00BC07D5">
        <w:rPr>
          <w:rFonts w:ascii="仿宋" w:eastAsia="仿宋" w:hAnsi="仿宋" w:cs="Times New Roman"/>
          <w:color w:val="000000"/>
          <w:sz w:val="32"/>
          <w:szCs w:val="32"/>
        </w:rPr>
        <w:t>管理</w:t>
      </w:r>
      <w:r w:rsidRPr="00BC07D5">
        <w:rPr>
          <w:rFonts w:ascii="仿宋" w:eastAsia="仿宋" w:hAnsi="仿宋" w:cs="Times New Roman" w:hint="eastAsia"/>
          <w:color w:val="000000"/>
          <w:sz w:val="32"/>
          <w:szCs w:val="32"/>
        </w:rPr>
        <w:t>的关联</w:t>
      </w:r>
      <w:r w:rsidRPr="00BC07D5">
        <w:rPr>
          <w:rFonts w:ascii="仿宋" w:eastAsia="仿宋" w:hAnsi="仿宋" w:cs="Times New Roman" w:hint="eastAsia"/>
          <w:color w:val="000000"/>
          <w:sz w:val="32"/>
          <w:szCs w:val="32"/>
        </w:rPr>
        <w:t>交易</w:t>
      </w:r>
      <w:r w:rsidRPr="00BC07D5">
        <w:rPr>
          <w:rFonts w:ascii="仿宋" w:eastAsia="仿宋" w:hAnsi="仿宋" w:cs="Times New Roman"/>
          <w:color w:val="000000"/>
          <w:sz w:val="32"/>
          <w:szCs w:val="32"/>
        </w:rPr>
        <w:t>至少</w:t>
      </w:r>
      <w:r w:rsidRPr="00BC07D5">
        <w:rPr>
          <w:rFonts w:ascii="仿宋" w:eastAsia="仿宋" w:hAnsi="仿宋" w:cs="Times New Roman" w:hint="eastAsia"/>
          <w:color w:val="000000"/>
          <w:sz w:val="32"/>
          <w:szCs w:val="32"/>
        </w:rPr>
        <w:t>包括：</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（一）</w:t>
      </w:r>
      <w:r w:rsidRPr="00BC07D5">
        <w:rPr>
          <w:rFonts w:ascii="仿宋" w:eastAsia="仿宋" w:hAnsi="仿宋" w:cs="Times New Roman"/>
          <w:color w:val="000000"/>
          <w:sz w:val="32"/>
          <w:szCs w:val="32"/>
        </w:rPr>
        <w:t>集团内部交易</w:t>
      </w:r>
      <w:r w:rsidRPr="00BC07D5">
        <w:rPr>
          <w:rFonts w:ascii="仿宋" w:eastAsia="仿宋" w:hAnsi="仿宋" w:cs="Times New Roman" w:hint="eastAsia"/>
          <w:color w:val="000000"/>
          <w:sz w:val="32"/>
          <w:szCs w:val="32"/>
        </w:rPr>
        <w:t>，</w:t>
      </w:r>
      <w:r w:rsidRPr="00BC07D5">
        <w:rPr>
          <w:rFonts w:ascii="仿宋" w:eastAsia="仿宋" w:hAnsi="仿宋" w:cs="Times New Roman"/>
          <w:color w:val="000000"/>
          <w:sz w:val="32"/>
          <w:szCs w:val="32"/>
        </w:rPr>
        <w:t>指金融控股公司与附属机构之间以及各附属机构之间发生的转移资源、劳务或义务的行为，或者联合提供服务的行为</w:t>
      </w:r>
      <w:r w:rsidRPr="00BC07D5">
        <w:rPr>
          <w:rFonts w:ascii="仿宋" w:eastAsia="仿宋" w:hAnsi="仿宋" w:cs="Times New Roman" w:hint="eastAsia"/>
          <w:color w:val="000000"/>
          <w:sz w:val="32"/>
          <w:szCs w:val="32"/>
        </w:rPr>
        <w:t>；</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（二）</w:t>
      </w:r>
      <w:r w:rsidRPr="00BC07D5">
        <w:rPr>
          <w:rFonts w:ascii="仿宋" w:eastAsia="仿宋" w:hAnsi="仿宋" w:cs="Times New Roman"/>
          <w:color w:val="000000"/>
          <w:sz w:val="32"/>
          <w:szCs w:val="32"/>
        </w:rPr>
        <w:t>集团对外关联交易</w:t>
      </w:r>
      <w:r w:rsidRPr="00BC07D5">
        <w:rPr>
          <w:rFonts w:ascii="仿宋" w:eastAsia="仿宋" w:hAnsi="仿宋" w:cs="Times New Roman" w:hint="eastAsia"/>
          <w:color w:val="000000"/>
          <w:sz w:val="32"/>
          <w:szCs w:val="32"/>
        </w:rPr>
        <w:t>，</w:t>
      </w:r>
      <w:r w:rsidRPr="00BC07D5">
        <w:rPr>
          <w:rFonts w:ascii="仿宋" w:eastAsia="仿宋" w:hAnsi="仿宋" w:cs="Times New Roman"/>
          <w:color w:val="000000"/>
          <w:sz w:val="32"/>
          <w:szCs w:val="32"/>
        </w:rPr>
        <w:t>指金融控股公司及其附属机</w:t>
      </w:r>
      <w:r w:rsidRPr="00BC07D5">
        <w:rPr>
          <w:rFonts w:ascii="仿宋" w:eastAsia="仿宋" w:hAnsi="仿宋" w:cs="Times New Roman"/>
          <w:color w:val="000000"/>
          <w:sz w:val="32"/>
          <w:szCs w:val="32"/>
        </w:rPr>
        <w:lastRenderedPageBreak/>
        <w:t>构与金融控股公司</w:t>
      </w:r>
      <w:r w:rsidRPr="00BC07D5">
        <w:rPr>
          <w:rFonts w:ascii="仿宋" w:eastAsia="仿宋" w:hAnsi="仿宋" w:cs="Times New Roman" w:hint="eastAsia"/>
          <w:color w:val="000000"/>
          <w:sz w:val="32"/>
          <w:szCs w:val="32"/>
        </w:rPr>
        <w:t>本级的</w:t>
      </w:r>
      <w:r w:rsidRPr="00BC07D5">
        <w:rPr>
          <w:rFonts w:ascii="仿宋" w:eastAsia="仿宋" w:hAnsi="仿宋" w:cs="Times New Roman"/>
          <w:color w:val="000000"/>
          <w:sz w:val="32"/>
          <w:szCs w:val="32"/>
        </w:rPr>
        <w:t>关联方</w:t>
      </w:r>
      <w:r w:rsidRPr="00BC07D5">
        <w:rPr>
          <w:rFonts w:ascii="仿宋" w:eastAsia="仿宋" w:hAnsi="仿宋" w:cs="Times New Roman" w:hint="eastAsia"/>
          <w:color w:val="000000"/>
          <w:sz w:val="32"/>
          <w:szCs w:val="32"/>
        </w:rPr>
        <w:t>（除附属机构外）</w:t>
      </w:r>
      <w:r w:rsidRPr="00BC07D5">
        <w:rPr>
          <w:rFonts w:ascii="仿宋" w:eastAsia="仿宋" w:hAnsi="仿宋" w:cs="Times New Roman"/>
          <w:color w:val="000000"/>
          <w:sz w:val="32"/>
          <w:szCs w:val="32"/>
        </w:rPr>
        <w:t>之间发生的转移资源、劳务或义务的行为。</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第十四条【按交易类型分】按照交易类型的不同，金融控股公司的关联交易包括：</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（一）投融资类：包括贷款（含贸易融资）、融资租赁、融资融券、买入返售、票据承兑和贴现、透支、存单、债券投资、金融衍生品交易、特定目的载体投资、投资金融产品、证券回购</w:t>
      </w:r>
      <w:r w:rsidRPr="00BC07D5">
        <w:rPr>
          <w:rFonts w:ascii="仿宋" w:eastAsia="仿宋" w:hAnsi="仿宋" w:cs="Times New Roman"/>
          <w:color w:val="000000"/>
          <w:sz w:val="32"/>
          <w:szCs w:val="32"/>
        </w:rPr>
        <w:t>、拆借、开立信用证、保理、担保、保函、贷款承诺以及其他实质上由金融控股公司或其附属机构承担信用风险的业务，投资股权、不动产及其他资产，与关联方共同投资等；</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（二）</w:t>
      </w:r>
      <w:bookmarkStart w:id="2" w:name="_Hlk84515374"/>
      <w:r w:rsidRPr="00BC07D5">
        <w:rPr>
          <w:rFonts w:ascii="仿宋" w:eastAsia="仿宋" w:hAnsi="仿宋" w:cs="Times New Roman"/>
          <w:color w:val="000000"/>
          <w:sz w:val="32"/>
          <w:szCs w:val="32"/>
        </w:rPr>
        <w:t>资产转移类</w:t>
      </w:r>
      <w:bookmarkEnd w:id="2"/>
      <w:r w:rsidRPr="00BC07D5">
        <w:rPr>
          <w:rFonts w:ascii="仿宋" w:eastAsia="仿宋" w:hAnsi="仿宋" w:cs="Times New Roman"/>
          <w:color w:val="000000"/>
          <w:sz w:val="32"/>
          <w:szCs w:val="32"/>
        </w:rPr>
        <w:t>：包括自用动产与不动产买卖，信贷资产及其收（受）益权买卖，抵债资产的接收和处置，其他出售资产交易等；</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（三）</w:t>
      </w:r>
      <w:bookmarkStart w:id="3" w:name="_Hlk84516428"/>
      <w:r w:rsidRPr="00BC07D5">
        <w:rPr>
          <w:rFonts w:ascii="仿宋" w:eastAsia="仿宋" w:hAnsi="仿宋" w:cs="Times New Roman"/>
          <w:color w:val="000000"/>
          <w:sz w:val="32"/>
          <w:szCs w:val="32"/>
        </w:rPr>
        <w:t>提供服务类</w:t>
      </w:r>
      <w:bookmarkEnd w:id="3"/>
      <w:r w:rsidRPr="00BC07D5">
        <w:rPr>
          <w:rFonts w:ascii="仿宋" w:eastAsia="仿宋" w:hAnsi="仿宋" w:cs="Times New Roman"/>
          <w:color w:val="000000"/>
          <w:sz w:val="32"/>
          <w:szCs w:val="32"/>
        </w:rPr>
        <w:t>：包括征信、信用评级、资产评估、法律、审计、精算、咨询顾问服务；软件和信息技术服务、互联网数据服务；非金融机构支付服务；金融信息服务，包括但不限于客户信息共享、金融交易风险控制、金融决策分析；信息展示、销售推介、委托或受托</w:t>
      </w:r>
      <w:r w:rsidRPr="00BC07D5">
        <w:rPr>
          <w:rFonts w:ascii="仿宋" w:eastAsia="仿宋" w:hAnsi="仿宋" w:cs="Times New Roman"/>
          <w:color w:val="000000"/>
          <w:sz w:val="32"/>
          <w:szCs w:val="32"/>
        </w:rPr>
        <w:t>销售；有价证券交易经纪服务和承销服务；自用动产与不动产租赁、其他租赁资产交易等；</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（四）其他类型关联交易，包括存款、保险业务以及按</w:t>
      </w:r>
      <w:r w:rsidRPr="00BC07D5">
        <w:rPr>
          <w:rFonts w:ascii="仿宋" w:eastAsia="仿宋" w:hAnsi="仿宋" w:cs="Times New Roman"/>
          <w:color w:val="000000"/>
          <w:sz w:val="32"/>
          <w:szCs w:val="32"/>
        </w:rPr>
        <w:lastRenderedPageBreak/>
        <w:t>照实质重于形式原则认定的其他可能导致金融控股公司及其附属机构利益转移的事项。</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第十五条【关联交易金额计算】</w:t>
      </w:r>
      <w:r w:rsidRPr="00BC07D5">
        <w:rPr>
          <w:rFonts w:ascii="仿宋" w:eastAsia="仿宋" w:hAnsi="仿宋" w:cs="Times New Roman"/>
          <w:color w:val="000000"/>
          <w:sz w:val="32"/>
          <w:szCs w:val="32"/>
        </w:rPr>
        <w:t>金融控股公司</w:t>
      </w:r>
      <w:r w:rsidRPr="00BC07D5">
        <w:rPr>
          <w:rFonts w:ascii="仿宋" w:eastAsia="仿宋" w:hAnsi="仿宋" w:cs="Times New Roman" w:hint="eastAsia"/>
          <w:color w:val="000000"/>
          <w:sz w:val="32"/>
          <w:szCs w:val="32"/>
        </w:rPr>
        <w:t>的</w:t>
      </w:r>
      <w:r w:rsidRPr="00BC07D5">
        <w:rPr>
          <w:rFonts w:ascii="仿宋" w:eastAsia="仿宋" w:hAnsi="仿宋" w:cs="Times New Roman"/>
          <w:color w:val="000000"/>
          <w:sz w:val="32"/>
          <w:szCs w:val="32"/>
        </w:rPr>
        <w:t>关联交易金额以交易对价或转移的利益计算</w:t>
      </w:r>
      <w:r w:rsidRPr="00BC07D5">
        <w:rPr>
          <w:rFonts w:ascii="仿宋" w:eastAsia="仿宋" w:hAnsi="仿宋" w:cs="Times New Roman" w:hint="eastAsia"/>
          <w:color w:val="000000"/>
          <w:sz w:val="32"/>
          <w:szCs w:val="32"/>
        </w:rPr>
        <w:t>，计算方式如下：</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（一）投融资类关联交易以投融资金额计算交易金额</w:t>
      </w:r>
      <w:r w:rsidRPr="00BC07D5">
        <w:rPr>
          <w:rFonts w:ascii="仿宋" w:eastAsia="仿宋" w:hAnsi="仿宋" w:cs="Times New Roman"/>
          <w:color w:val="000000"/>
          <w:sz w:val="32"/>
          <w:szCs w:val="32"/>
        </w:rPr>
        <w:t>。投资关联方发行的金融产品且基础资产不涉及其他关联方的，以管理费或服务费计算交易金额</w:t>
      </w:r>
      <w:r w:rsidRPr="00BC07D5">
        <w:rPr>
          <w:rFonts w:ascii="仿宋" w:eastAsia="仿宋" w:hAnsi="仿宋" w:cs="Times New Roman" w:hint="eastAsia"/>
          <w:color w:val="000000"/>
          <w:sz w:val="32"/>
          <w:szCs w:val="32"/>
        </w:rPr>
        <w:t>；</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（二）资产转移类关联交易以交易价格或公允价值计算交易金额；</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（三）提供服</w:t>
      </w:r>
      <w:r w:rsidRPr="00BC07D5">
        <w:rPr>
          <w:rFonts w:ascii="仿宋" w:eastAsia="仿宋" w:hAnsi="仿宋" w:cs="Times New Roman" w:hint="eastAsia"/>
          <w:color w:val="000000"/>
          <w:sz w:val="32"/>
          <w:szCs w:val="32"/>
        </w:rPr>
        <w:t>务类关联交易以</w:t>
      </w:r>
      <w:r w:rsidRPr="00BC07D5">
        <w:rPr>
          <w:rFonts w:ascii="仿宋" w:eastAsia="仿宋" w:hAnsi="仿宋" w:cs="Times New Roman"/>
          <w:color w:val="000000"/>
          <w:sz w:val="32"/>
          <w:szCs w:val="32"/>
        </w:rPr>
        <w:t>业务收入或支出金额计算</w:t>
      </w:r>
      <w:r w:rsidRPr="00BC07D5">
        <w:rPr>
          <w:rFonts w:ascii="仿宋" w:eastAsia="仿宋" w:hAnsi="仿宋" w:cs="Times New Roman" w:hint="eastAsia"/>
          <w:color w:val="000000"/>
          <w:sz w:val="32"/>
          <w:szCs w:val="32"/>
        </w:rPr>
        <w:t>交易金额；</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（四）中国人民银行确定的其他计算口径。</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第十</w:t>
      </w:r>
      <w:r w:rsidRPr="00BC07D5">
        <w:rPr>
          <w:rFonts w:ascii="仿宋" w:eastAsia="仿宋" w:hAnsi="仿宋" w:cs="Times New Roman" w:hint="eastAsia"/>
          <w:color w:val="000000"/>
          <w:sz w:val="32"/>
          <w:szCs w:val="32"/>
        </w:rPr>
        <w:t>六</w:t>
      </w:r>
      <w:r w:rsidRPr="00BC07D5">
        <w:rPr>
          <w:rFonts w:ascii="仿宋" w:eastAsia="仿宋" w:hAnsi="仿宋" w:cs="Times New Roman"/>
          <w:color w:val="000000"/>
          <w:sz w:val="32"/>
          <w:szCs w:val="32"/>
        </w:rPr>
        <w:t>条【重大与一般关联交易】</w:t>
      </w:r>
      <w:r w:rsidRPr="00BC07D5">
        <w:rPr>
          <w:rFonts w:ascii="仿宋" w:eastAsia="仿宋" w:hAnsi="仿宋" w:cs="Times New Roman" w:hint="eastAsia"/>
          <w:color w:val="000000"/>
          <w:sz w:val="32"/>
          <w:szCs w:val="32"/>
        </w:rPr>
        <w:t>按照交易金额的不同，金融控股公司本级的关联交易包括：</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（一）</w:t>
      </w:r>
      <w:r w:rsidRPr="00BC07D5">
        <w:rPr>
          <w:rFonts w:ascii="仿宋" w:eastAsia="仿宋" w:hAnsi="仿宋" w:cs="Times New Roman"/>
          <w:color w:val="000000"/>
          <w:sz w:val="32"/>
          <w:szCs w:val="32"/>
        </w:rPr>
        <w:t>本级的重大关联交易</w:t>
      </w:r>
      <w:r w:rsidRPr="00BC07D5">
        <w:rPr>
          <w:rFonts w:ascii="仿宋" w:eastAsia="仿宋" w:hAnsi="仿宋" w:cs="Times New Roman" w:hint="eastAsia"/>
          <w:color w:val="000000"/>
          <w:sz w:val="32"/>
          <w:szCs w:val="32"/>
        </w:rPr>
        <w:t>：</w:t>
      </w:r>
      <w:r w:rsidRPr="00BC07D5">
        <w:rPr>
          <w:rFonts w:ascii="仿宋" w:eastAsia="仿宋" w:hAnsi="仿宋" w:cs="Times New Roman"/>
          <w:color w:val="000000"/>
          <w:sz w:val="32"/>
          <w:szCs w:val="32"/>
        </w:rPr>
        <w:t>指金融控股公司与关联方之间单笔交易金额达到金融控股公司上一年度末经审计的法人口径净资产</w:t>
      </w:r>
      <w:r w:rsidRPr="00BC07D5">
        <w:rPr>
          <w:rFonts w:ascii="仿宋" w:eastAsia="仿宋" w:hAnsi="仿宋" w:cs="Times New Roman"/>
          <w:color w:val="000000"/>
          <w:sz w:val="32"/>
          <w:szCs w:val="32"/>
        </w:rPr>
        <w:t>1%</w:t>
      </w:r>
      <w:r w:rsidRPr="00BC07D5">
        <w:rPr>
          <w:rFonts w:ascii="仿宋" w:eastAsia="仿宋" w:hAnsi="仿宋" w:cs="Times New Roman"/>
          <w:color w:val="000000"/>
          <w:sz w:val="32"/>
          <w:szCs w:val="32"/>
        </w:rPr>
        <w:t>以上或超过</w:t>
      </w:r>
      <w:r w:rsidRPr="00BC07D5">
        <w:rPr>
          <w:rFonts w:ascii="仿宋" w:eastAsia="仿宋" w:hAnsi="仿宋" w:cs="Times New Roman"/>
          <w:color w:val="000000"/>
          <w:sz w:val="32"/>
          <w:szCs w:val="32"/>
        </w:rPr>
        <w:t>10</w:t>
      </w:r>
      <w:r w:rsidRPr="00BC07D5">
        <w:rPr>
          <w:rFonts w:ascii="仿宋" w:eastAsia="仿宋" w:hAnsi="仿宋" w:cs="Times New Roman"/>
          <w:color w:val="000000"/>
          <w:sz w:val="32"/>
          <w:szCs w:val="32"/>
        </w:rPr>
        <w:t>亿元</w:t>
      </w:r>
      <w:r w:rsidRPr="00BC07D5">
        <w:rPr>
          <w:rFonts w:ascii="仿宋" w:eastAsia="仿宋" w:hAnsi="仿宋" w:cs="Times New Roman"/>
          <w:color w:val="000000"/>
          <w:sz w:val="32"/>
          <w:szCs w:val="32"/>
        </w:rPr>
        <w:t>，或对单个关联方交易金额累计达到金融控股公司上一年度末经审计的法人口径净资产</w:t>
      </w:r>
      <w:r w:rsidRPr="00BC07D5">
        <w:rPr>
          <w:rFonts w:ascii="仿宋" w:eastAsia="仿宋" w:hAnsi="仿宋" w:cs="Times New Roman"/>
          <w:color w:val="000000"/>
          <w:sz w:val="32"/>
          <w:szCs w:val="32"/>
        </w:rPr>
        <w:t>5%</w:t>
      </w:r>
      <w:r w:rsidRPr="00BC07D5">
        <w:rPr>
          <w:rFonts w:ascii="仿宋" w:eastAsia="仿宋" w:hAnsi="仿宋" w:cs="Times New Roman"/>
          <w:color w:val="000000"/>
          <w:sz w:val="32"/>
          <w:szCs w:val="32"/>
        </w:rPr>
        <w:t>以上或超过</w:t>
      </w:r>
      <w:r w:rsidRPr="00BC07D5">
        <w:rPr>
          <w:rFonts w:ascii="仿宋" w:eastAsia="仿宋" w:hAnsi="仿宋" w:cs="Times New Roman"/>
          <w:color w:val="000000"/>
          <w:sz w:val="32"/>
          <w:szCs w:val="32"/>
        </w:rPr>
        <w:t>50</w:t>
      </w:r>
      <w:r w:rsidRPr="00BC07D5">
        <w:rPr>
          <w:rFonts w:ascii="仿宋" w:eastAsia="仿宋" w:hAnsi="仿宋" w:cs="Times New Roman"/>
          <w:color w:val="000000"/>
          <w:sz w:val="32"/>
          <w:szCs w:val="32"/>
        </w:rPr>
        <w:t>亿元</w:t>
      </w:r>
      <w:r w:rsidRPr="00BC07D5">
        <w:rPr>
          <w:rFonts w:ascii="仿宋" w:eastAsia="仿宋" w:hAnsi="仿宋" w:cs="Times New Roman"/>
          <w:color w:val="000000"/>
          <w:sz w:val="32"/>
          <w:szCs w:val="32"/>
        </w:rPr>
        <w:t>的交易</w:t>
      </w:r>
      <w:r w:rsidRPr="00BC07D5">
        <w:rPr>
          <w:rFonts w:ascii="仿宋" w:eastAsia="仿宋" w:hAnsi="仿宋" w:cs="Times New Roman" w:hint="eastAsia"/>
          <w:color w:val="000000"/>
          <w:sz w:val="32"/>
          <w:szCs w:val="32"/>
        </w:rPr>
        <w:t>。</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一个年度内金融控股公司与单个关联方的累计交易金额达到前款标准后，其后发生的关联交易每累计达到金融控股公司上一年度末经审计的法人口径净资产</w:t>
      </w:r>
      <w:r w:rsidRPr="00BC07D5">
        <w:rPr>
          <w:rFonts w:ascii="仿宋" w:eastAsia="仿宋" w:hAnsi="仿宋" w:cs="Times New Roman"/>
          <w:color w:val="000000"/>
          <w:sz w:val="32"/>
          <w:szCs w:val="32"/>
        </w:rPr>
        <w:t>1%</w:t>
      </w:r>
      <w:r w:rsidRPr="00BC07D5">
        <w:rPr>
          <w:rFonts w:ascii="仿宋" w:eastAsia="仿宋" w:hAnsi="仿宋" w:cs="Times New Roman"/>
          <w:color w:val="000000"/>
          <w:sz w:val="32"/>
          <w:szCs w:val="32"/>
        </w:rPr>
        <w:t>以上，应当重</w:t>
      </w:r>
      <w:r w:rsidRPr="00BC07D5">
        <w:rPr>
          <w:rFonts w:ascii="仿宋" w:eastAsia="仿宋" w:hAnsi="仿宋" w:cs="Times New Roman"/>
          <w:color w:val="000000"/>
          <w:sz w:val="32"/>
          <w:szCs w:val="32"/>
        </w:rPr>
        <w:lastRenderedPageBreak/>
        <w:t>新认定为重大关联交易。</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（二）</w:t>
      </w:r>
      <w:r w:rsidRPr="00BC07D5">
        <w:rPr>
          <w:rFonts w:ascii="仿宋" w:eastAsia="仿宋" w:hAnsi="仿宋" w:cs="Times New Roman"/>
          <w:color w:val="000000"/>
          <w:sz w:val="32"/>
          <w:szCs w:val="32"/>
        </w:rPr>
        <w:t>本级的一般关联交易是指除重大关联交易以外的其他关联交易。</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金融控股公司附属机构的重大关联交易和一般关联交易由附属机构依据或参照有关规定进行认定。</w:t>
      </w:r>
    </w:p>
    <w:p w:rsidR="00093110" w:rsidRPr="00BC07D5" w:rsidRDefault="00093110">
      <w:pPr>
        <w:ind w:firstLineChars="200" w:firstLine="640"/>
        <w:rPr>
          <w:rFonts w:ascii="仿宋" w:eastAsia="仿宋" w:hAnsi="仿宋" w:cs="Times New Roman"/>
          <w:color w:val="000000"/>
          <w:sz w:val="32"/>
          <w:szCs w:val="32"/>
        </w:rPr>
      </w:pPr>
    </w:p>
    <w:p w:rsidR="00093110" w:rsidRPr="001E566B" w:rsidRDefault="00550CEA">
      <w:pPr>
        <w:jc w:val="center"/>
        <w:rPr>
          <w:rFonts w:ascii="仿宋" w:eastAsia="仿宋" w:hAnsi="仿宋" w:cs="Times New Roman"/>
          <w:b/>
          <w:color w:val="000000"/>
          <w:sz w:val="32"/>
          <w:szCs w:val="32"/>
        </w:rPr>
      </w:pPr>
      <w:r w:rsidRPr="001E566B">
        <w:rPr>
          <w:rFonts w:ascii="仿宋" w:eastAsia="仿宋" w:hAnsi="仿宋" w:cs="Times New Roman"/>
          <w:b/>
          <w:color w:val="000000"/>
          <w:sz w:val="32"/>
          <w:szCs w:val="32"/>
        </w:rPr>
        <w:t>第</w:t>
      </w:r>
      <w:r w:rsidRPr="001E566B">
        <w:rPr>
          <w:rFonts w:ascii="仿宋" w:eastAsia="仿宋" w:hAnsi="仿宋" w:cs="Times New Roman" w:hint="eastAsia"/>
          <w:b/>
          <w:color w:val="000000"/>
          <w:sz w:val="32"/>
          <w:szCs w:val="32"/>
        </w:rPr>
        <w:t>四</w:t>
      </w:r>
      <w:r w:rsidRPr="001E566B">
        <w:rPr>
          <w:rFonts w:ascii="仿宋" w:eastAsia="仿宋" w:hAnsi="仿宋" w:cs="Times New Roman"/>
          <w:b/>
          <w:color w:val="000000"/>
          <w:sz w:val="32"/>
          <w:szCs w:val="32"/>
        </w:rPr>
        <w:t>章</w:t>
      </w:r>
      <w:r w:rsidRPr="001E566B">
        <w:rPr>
          <w:rFonts w:ascii="仿宋" w:eastAsia="仿宋" w:hAnsi="仿宋" w:cs="Times New Roman" w:hint="eastAsia"/>
          <w:b/>
          <w:color w:val="000000"/>
          <w:sz w:val="32"/>
          <w:szCs w:val="32"/>
        </w:rPr>
        <w:t xml:space="preserve"> </w:t>
      </w:r>
      <w:r w:rsidRPr="001E566B">
        <w:rPr>
          <w:rFonts w:ascii="仿宋" w:eastAsia="仿宋" w:hAnsi="仿宋" w:cs="Times New Roman"/>
          <w:b/>
          <w:color w:val="000000"/>
          <w:sz w:val="32"/>
          <w:szCs w:val="32"/>
        </w:rPr>
        <w:t>内部管理</w:t>
      </w:r>
    </w:p>
    <w:p w:rsidR="00093110" w:rsidRPr="00BC07D5" w:rsidRDefault="00550CEA" w:rsidP="00BC07D5">
      <w:pPr>
        <w:jc w:val="center"/>
        <w:rPr>
          <w:rFonts w:ascii="仿宋" w:eastAsia="仿宋" w:hAnsi="仿宋" w:cs="Times New Roman"/>
          <w:color w:val="000000"/>
          <w:sz w:val="32"/>
          <w:szCs w:val="32"/>
        </w:rPr>
      </w:pPr>
      <w:r w:rsidRPr="001E566B">
        <w:rPr>
          <w:rFonts w:ascii="仿宋" w:eastAsia="仿宋" w:hAnsi="仿宋" w:cs="Times New Roman" w:hint="eastAsia"/>
          <w:b/>
          <w:color w:val="000000"/>
          <w:sz w:val="32"/>
          <w:szCs w:val="32"/>
        </w:rPr>
        <w:t>第一节</w:t>
      </w:r>
      <w:r w:rsidRPr="001E566B">
        <w:rPr>
          <w:rFonts w:ascii="仿宋" w:eastAsia="仿宋" w:hAnsi="仿宋" w:cs="Times New Roman" w:hint="eastAsia"/>
          <w:b/>
          <w:color w:val="000000"/>
          <w:sz w:val="32"/>
          <w:szCs w:val="32"/>
        </w:rPr>
        <w:t xml:space="preserve"> </w:t>
      </w:r>
      <w:r w:rsidRPr="001E566B">
        <w:rPr>
          <w:rFonts w:ascii="仿宋" w:eastAsia="仿宋" w:hAnsi="仿宋" w:cs="Times New Roman" w:hint="eastAsia"/>
          <w:b/>
          <w:color w:val="000000"/>
          <w:sz w:val="32"/>
          <w:szCs w:val="32"/>
        </w:rPr>
        <w:t>总体要求</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w:t>
      </w:r>
      <w:r w:rsidRPr="00BC07D5">
        <w:rPr>
          <w:rFonts w:ascii="仿宋" w:eastAsia="仿宋" w:hAnsi="仿宋" w:cs="Times New Roman" w:hint="eastAsia"/>
          <w:color w:val="000000"/>
          <w:sz w:val="32"/>
          <w:szCs w:val="32"/>
        </w:rPr>
        <w:t>十七</w:t>
      </w:r>
      <w:r w:rsidRPr="00BC07D5">
        <w:rPr>
          <w:rFonts w:ascii="仿宋" w:eastAsia="仿宋" w:hAnsi="仿宋" w:cs="Times New Roman"/>
          <w:color w:val="000000"/>
          <w:sz w:val="32"/>
          <w:szCs w:val="32"/>
        </w:rPr>
        <w:t>条【管理制度】金融控股公司应当建立</w:t>
      </w:r>
      <w:r w:rsidRPr="00BC07D5">
        <w:rPr>
          <w:rFonts w:ascii="仿宋" w:eastAsia="仿宋" w:hAnsi="仿宋" w:cs="Times New Roman" w:hint="eastAsia"/>
          <w:color w:val="000000"/>
          <w:sz w:val="32"/>
          <w:szCs w:val="32"/>
        </w:rPr>
        <w:t>有效的</w:t>
      </w:r>
      <w:r w:rsidRPr="00BC07D5">
        <w:rPr>
          <w:rFonts w:ascii="仿宋" w:eastAsia="仿宋" w:hAnsi="仿宋" w:cs="Times New Roman"/>
          <w:color w:val="000000"/>
          <w:sz w:val="32"/>
          <w:szCs w:val="32"/>
        </w:rPr>
        <w:t>关联交易管理制度，明确</w:t>
      </w:r>
      <w:r w:rsidRPr="00BC07D5">
        <w:rPr>
          <w:rFonts w:ascii="仿宋" w:eastAsia="仿宋" w:hAnsi="仿宋" w:cs="Times New Roman"/>
          <w:color w:val="000000"/>
          <w:sz w:val="32"/>
          <w:szCs w:val="32"/>
        </w:rPr>
        <w:t>“</w:t>
      </w:r>
      <w:r w:rsidRPr="00BC07D5">
        <w:rPr>
          <w:rFonts w:ascii="仿宋" w:eastAsia="仿宋" w:hAnsi="仿宋" w:cs="Times New Roman"/>
          <w:color w:val="000000"/>
          <w:sz w:val="32"/>
          <w:szCs w:val="32"/>
        </w:rPr>
        <w:t>事前、事中、事后</w:t>
      </w:r>
      <w:r w:rsidRPr="00BC07D5">
        <w:rPr>
          <w:rFonts w:ascii="仿宋" w:eastAsia="仿宋" w:hAnsi="仿宋" w:cs="Times New Roman"/>
          <w:color w:val="000000"/>
          <w:sz w:val="32"/>
          <w:szCs w:val="32"/>
        </w:rPr>
        <w:t>”</w:t>
      </w:r>
      <w:r w:rsidRPr="00BC07D5">
        <w:rPr>
          <w:rFonts w:ascii="仿宋" w:eastAsia="仿宋" w:hAnsi="仿宋" w:cs="Times New Roman"/>
          <w:color w:val="000000"/>
          <w:sz w:val="32"/>
          <w:szCs w:val="32"/>
        </w:rPr>
        <w:t>的全流程管控措施，</w:t>
      </w:r>
      <w:r w:rsidRPr="00BC07D5">
        <w:rPr>
          <w:rFonts w:ascii="仿宋" w:eastAsia="仿宋" w:hAnsi="仿宋" w:cs="Times New Roman" w:hint="eastAsia"/>
          <w:color w:val="000000"/>
          <w:sz w:val="32"/>
          <w:szCs w:val="32"/>
        </w:rPr>
        <w:t>降低关联交易的复杂程度，提升集团整体</w:t>
      </w:r>
      <w:r w:rsidRPr="00BC07D5">
        <w:rPr>
          <w:rFonts w:ascii="仿宋" w:eastAsia="仿宋" w:hAnsi="仿宋" w:cs="Times New Roman" w:hint="eastAsia"/>
          <w:color w:val="000000"/>
          <w:sz w:val="32"/>
          <w:szCs w:val="32"/>
        </w:rPr>
        <w:t>关联交易管理水平，确保集团各层面关联交易管理制度的有效衔接。金融控股公司的关联交易管理制度包括但不限于：</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（一）管理架构和相应职责分工；</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（二）</w:t>
      </w:r>
      <w:r w:rsidRPr="00BC07D5">
        <w:rPr>
          <w:rFonts w:ascii="仿宋" w:eastAsia="仿宋" w:hAnsi="仿宋" w:cs="Times New Roman" w:hint="eastAsia"/>
          <w:color w:val="000000"/>
          <w:sz w:val="32"/>
          <w:szCs w:val="32"/>
        </w:rPr>
        <w:t>金融控股公司关联交易的管理流程、定价指引、限额管理、禁止行为、内部审计和责任追究等；</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（三）金融控股公司</w:t>
      </w:r>
      <w:r w:rsidRPr="00BC07D5">
        <w:rPr>
          <w:rFonts w:ascii="仿宋" w:eastAsia="仿宋" w:hAnsi="仿宋" w:cs="Times New Roman"/>
          <w:color w:val="000000"/>
          <w:sz w:val="32"/>
          <w:szCs w:val="32"/>
        </w:rPr>
        <w:t>关联方的识别、报告、核验、信息收集与管理</w:t>
      </w:r>
      <w:r w:rsidRPr="00BC07D5">
        <w:rPr>
          <w:rFonts w:ascii="仿宋" w:eastAsia="仿宋" w:hAnsi="仿宋" w:cs="Times New Roman" w:hint="eastAsia"/>
          <w:color w:val="000000"/>
          <w:sz w:val="32"/>
          <w:szCs w:val="32"/>
        </w:rPr>
        <w:t>；</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（四）</w:t>
      </w:r>
      <w:r w:rsidRPr="00BC07D5">
        <w:rPr>
          <w:rFonts w:ascii="仿宋" w:eastAsia="仿宋" w:hAnsi="仿宋" w:cs="Times New Roman"/>
          <w:color w:val="000000"/>
          <w:sz w:val="32"/>
          <w:szCs w:val="32"/>
        </w:rPr>
        <w:t>金融控股公司本级关联交易的发起、定价、审查、</w:t>
      </w:r>
      <w:r w:rsidRPr="00BC07D5">
        <w:rPr>
          <w:rFonts w:ascii="仿宋" w:eastAsia="仿宋" w:hAnsi="仿宋" w:cs="Times New Roman" w:hint="eastAsia"/>
          <w:color w:val="000000"/>
          <w:sz w:val="32"/>
          <w:szCs w:val="32"/>
        </w:rPr>
        <w:t>回避、</w:t>
      </w:r>
      <w:r w:rsidRPr="00BC07D5">
        <w:rPr>
          <w:rFonts w:ascii="仿宋" w:eastAsia="仿宋" w:hAnsi="仿宋" w:cs="Times New Roman"/>
          <w:color w:val="000000"/>
          <w:sz w:val="32"/>
          <w:szCs w:val="32"/>
        </w:rPr>
        <w:t>报告</w:t>
      </w:r>
      <w:r w:rsidRPr="00BC07D5">
        <w:rPr>
          <w:rFonts w:ascii="仿宋" w:eastAsia="仿宋" w:hAnsi="仿宋" w:cs="Times New Roman" w:hint="eastAsia"/>
          <w:color w:val="000000"/>
          <w:sz w:val="32"/>
          <w:szCs w:val="32"/>
        </w:rPr>
        <w:t>和</w:t>
      </w:r>
      <w:r w:rsidRPr="00BC07D5">
        <w:rPr>
          <w:rFonts w:ascii="仿宋" w:eastAsia="仿宋" w:hAnsi="仿宋" w:cs="Times New Roman"/>
          <w:color w:val="000000"/>
          <w:sz w:val="32"/>
          <w:szCs w:val="32"/>
        </w:rPr>
        <w:t>披露</w:t>
      </w:r>
      <w:r w:rsidRPr="00BC07D5">
        <w:rPr>
          <w:rFonts w:ascii="仿宋" w:eastAsia="仿宋" w:hAnsi="仿宋" w:cs="Times New Roman" w:hint="eastAsia"/>
          <w:color w:val="000000"/>
          <w:sz w:val="32"/>
          <w:szCs w:val="32"/>
        </w:rPr>
        <w:t>等</w:t>
      </w:r>
      <w:r w:rsidRPr="00BC07D5">
        <w:rPr>
          <w:rFonts w:ascii="仿宋" w:eastAsia="仿宋" w:hAnsi="仿宋" w:cs="Times New Roman"/>
          <w:color w:val="000000"/>
          <w:sz w:val="32"/>
          <w:szCs w:val="32"/>
        </w:rPr>
        <w:t>；</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w:t>
      </w:r>
      <w:r w:rsidRPr="00BC07D5">
        <w:rPr>
          <w:rFonts w:ascii="仿宋" w:eastAsia="仿宋" w:hAnsi="仿宋" w:cs="Times New Roman" w:hint="eastAsia"/>
          <w:color w:val="000000"/>
          <w:sz w:val="32"/>
          <w:szCs w:val="32"/>
        </w:rPr>
        <w:t>五</w:t>
      </w:r>
      <w:r w:rsidRPr="00BC07D5">
        <w:rPr>
          <w:rFonts w:ascii="仿宋" w:eastAsia="仿宋" w:hAnsi="仿宋" w:cs="Times New Roman"/>
          <w:color w:val="000000"/>
          <w:sz w:val="32"/>
          <w:szCs w:val="32"/>
        </w:rPr>
        <w:t>）</w:t>
      </w:r>
      <w:r w:rsidRPr="00BC07D5">
        <w:rPr>
          <w:rFonts w:ascii="仿宋" w:eastAsia="仿宋" w:hAnsi="仿宋" w:cs="Times New Roman" w:hint="eastAsia"/>
          <w:color w:val="000000"/>
          <w:sz w:val="32"/>
          <w:szCs w:val="32"/>
        </w:rPr>
        <w:t>指导</w:t>
      </w:r>
      <w:r w:rsidRPr="00BC07D5">
        <w:rPr>
          <w:rFonts w:ascii="仿宋" w:eastAsia="仿宋" w:hAnsi="仿宋" w:cs="Times New Roman"/>
          <w:color w:val="000000"/>
          <w:sz w:val="32"/>
          <w:szCs w:val="32"/>
        </w:rPr>
        <w:t>和督促</w:t>
      </w:r>
      <w:r w:rsidRPr="00BC07D5">
        <w:rPr>
          <w:rFonts w:ascii="仿宋" w:eastAsia="仿宋" w:hAnsi="仿宋" w:cs="Times New Roman" w:hint="eastAsia"/>
          <w:color w:val="000000"/>
          <w:sz w:val="32"/>
          <w:szCs w:val="32"/>
        </w:rPr>
        <w:t>金融控股公司</w:t>
      </w:r>
      <w:r w:rsidRPr="00BC07D5">
        <w:rPr>
          <w:rFonts w:ascii="仿宋" w:eastAsia="仿宋" w:hAnsi="仿宋" w:cs="Times New Roman"/>
          <w:color w:val="000000"/>
          <w:sz w:val="32"/>
          <w:szCs w:val="32"/>
        </w:rPr>
        <w:t>附属机构完善关联交易管理；</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lastRenderedPageBreak/>
        <w:t>（</w:t>
      </w:r>
      <w:r w:rsidRPr="00BC07D5">
        <w:rPr>
          <w:rFonts w:ascii="仿宋" w:eastAsia="仿宋" w:hAnsi="仿宋" w:cs="Times New Roman" w:hint="eastAsia"/>
          <w:color w:val="000000"/>
          <w:sz w:val="32"/>
          <w:szCs w:val="32"/>
        </w:rPr>
        <w:t>六</w:t>
      </w:r>
      <w:r w:rsidRPr="00BC07D5">
        <w:rPr>
          <w:rFonts w:ascii="仿宋" w:eastAsia="仿宋" w:hAnsi="仿宋" w:cs="Times New Roman"/>
          <w:color w:val="000000"/>
          <w:sz w:val="32"/>
          <w:szCs w:val="32"/>
        </w:rPr>
        <w:t>）集团内部交易</w:t>
      </w:r>
      <w:r w:rsidRPr="00BC07D5">
        <w:rPr>
          <w:rFonts w:ascii="仿宋" w:eastAsia="仿宋" w:hAnsi="仿宋" w:cs="Times New Roman" w:hint="eastAsia"/>
          <w:color w:val="000000"/>
          <w:sz w:val="32"/>
          <w:szCs w:val="32"/>
        </w:rPr>
        <w:t>及其风险敞口的识别、评估和报告；</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（七）集团对外关联交易及其风险敞口的识别、评估和报告；</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（八）金融控股公司本级关联交易、附属机构关联交易、集团内部交易和集团对外关联交易可能产生的风险传染性以及对整个集团经营稳健性影响的评估检查。</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金融控股公司的关联交易管理制度应当在经由董事会批准后十个工作日内</w:t>
      </w:r>
      <w:r w:rsidRPr="00BC07D5">
        <w:rPr>
          <w:rFonts w:ascii="仿宋" w:eastAsia="仿宋" w:hAnsi="仿宋" w:cs="Times New Roman"/>
          <w:color w:val="000000"/>
          <w:sz w:val="32"/>
          <w:szCs w:val="32"/>
        </w:rPr>
        <w:t>向中国人民银行</w:t>
      </w:r>
      <w:r w:rsidRPr="00BC07D5">
        <w:rPr>
          <w:rFonts w:ascii="仿宋" w:eastAsia="仿宋" w:hAnsi="仿宋" w:cs="Times New Roman" w:hint="eastAsia"/>
          <w:color w:val="000000"/>
          <w:sz w:val="32"/>
          <w:szCs w:val="32"/>
        </w:rPr>
        <w:t>及其</w:t>
      </w:r>
      <w:r w:rsidRPr="00BC07D5">
        <w:rPr>
          <w:rFonts w:ascii="仿宋" w:eastAsia="仿宋" w:hAnsi="仿宋" w:cs="Times New Roman"/>
          <w:color w:val="000000"/>
          <w:sz w:val="32"/>
          <w:szCs w:val="32"/>
        </w:rPr>
        <w:t>住所地</w:t>
      </w:r>
      <w:r w:rsidRPr="00BC07D5">
        <w:rPr>
          <w:rFonts w:ascii="仿宋" w:eastAsia="仿宋" w:hAnsi="仿宋" w:cs="Times New Roman" w:hint="eastAsia"/>
          <w:color w:val="000000"/>
          <w:sz w:val="32"/>
          <w:szCs w:val="32"/>
        </w:rPr>
        <w:t>分支机构</w:t>
      </w:r>
      <w:r w:rsidRPr="00BC07D5">
        <w:rPr>
          <w:rFonts w:ascii="仿宋" w:eastAsia="仿宋" w:hAnsi="仿宋" w:cs="Times New Roman"/>
          <w:color w:val="000000"/>
          <w:sz w:val="32"/>
          <w:szCs w:val="32"/>
        </w:rPr>
        <w:t>备案</w:t>
      </w:r>
      <w:r w:rsidRPr="00BC07D5">
        <w:rPr>
          <w:rFonts w:ascii="仿宋" w:eastAsia="仿宋" w:hAnsi="仿宋" w:cs="Times New Roman"/>
          <w:color w:val="000000"/>
          <w:sz w:val="32"/>
          <w:szCs w:val="32"/>
        </w:rPr>
        <w:t>。</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w:t>
      </w:r>
      <w:r w:rsidRPr="00BC07D5">
        <w:rPr>
          <w:rFonts w:ascii="仿宋" w:eastAsia="仿宋" w:hAnsi="仿宋" w:cs="Times New Roman" w:hint="eastAsia"/>
          <w:color w:val="000000"/>
          <w:sz w:val="32"/>
          <w:szCs w:val="32"/>
        </w:rPr>
        <w:t>十八</w:t>
      </w:r>
      <w:r w:rsidRPr="00BC07D5">
        <w:rPr>
          <w:rFonts w:ascii="仿宋" w:eastAsia="仿宋" w:hAnsi="仿宋" w:cs="Times New Roman"/>
          <w:color w:val="000000"/>
          <w:sz w:val="32"/>
          <w:szCs w:val="32"/>
        </w:rPr>
        <w:t>条【</w:t>
      </w:r>
      <w:r w:rsidRPr="00BC07D5">
        <w:rPr>
          <w:rFonts w:ascii="仿宋" w:eastAsia="仿宋" w:hAnsi="仿宋" w:cs="Times New Roman" w:hint="eastAsia"/>
          <w:color w:val="000000"/>
          <w:sz w:val="32"/>
          <w:szCs w:val="32"/>
        </w:rPr>
        <w:t>治理</w:t>
      </w:r>
      <w:r w:rsidRPr="00BC07D5">
        <w:rPr>
          <w:rFonts w:ascii="仿宋" w:eastAsia="仿宋" w:hAnsi="仿宋" w:cs="Times New Roman"/>
          <w:color w:val="000000"/>
          <w:sz w:val="32"/>
          <w:szCs w:val="32"/>
        </w:rPr>
        <w:t>架构】</w:t>
      </w:r>
      <w:bookmarkStart w:id="4" w:name="_Hlk84533082"/>
      <w:r w:rsidRPr="00BC07D5">
        <w:rPr>
          <w:rFonts w:ascii="仿宋" w:eastAsia="仿宋" w:hAnsi="仿宋" w:cs="Times New Roman"/>
          <w:color w:val="000000"/>
          <w:sz w:val="32"/>
          <w:szCs w:val="32"/>
        </w:rPr>
        <w:t>金融控股公司</w:t>
      </w:r>
      <w:bookmarkEnd w:id="4"/>
      <w:r w:rsidRPr="00BC07D5">
        <w:rPr>
          <w:rFonts w:ascii="仿宋" w:eastAsia="仿宋" w:hAnsi="仿宋" w:cs="Times New Roman" w:hint="eastAsia"/>
          <w:color w:val="000000"/>
          <w:sz w:val="32"/>
          <w:szCs w:val="32"/>
        </w:rPr>
        <w:t>应当建立完善的关联交易管理架构，包括：</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（一）</w:t>
      </w:r>
      <w:r w:rsidRPr="00BC07D5">
        <w:rPr>
          <w:rFonts w:ascii="仿宋" w:eastAsia="仿宋" w:hAnsi="仿宋" w:cs="Times New Roman"/>
          <w:color w:val="000000"/>
          <w:sz w:val="32"/>
          <w:szCs w:val="32"/>
        </w:rPr>
        <w:t>董事会</w:t>
      </w:r>
      <w:r w:rsidRPr="00BC07D5">
        <w:rPr>
          <w:rFonts w:ascii="仿宋" w:eastAsia="仿宋" w:hAnsi="仿宋" w:cs="Times New Roman" w:hint="eastAsia"/>
          <w:color w:val="000000"/>
          <w:sz w:val="32"/>
          <w:szCs w:val="32"/>
        </w:rPr>
        <w:t>对金融控股公司的关联交易管理承担最终责任；</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（二）董事会下设</w:t>
      </w:r>
      <w:r w:rsidRPr="00BC07D5">
        <w:rPr>
          <w:rFonts w:ascii="仿宋" w:eastAsia="仿宋" w:hAnsi="仿宋" w:cs="Times New Roman"/>
          <w:color w:val="000000"/>
          <w:sz w:val="32"/>
          <w:szCs w:val="32"/>
        </w:rPr>
        <w:t>关联交易管理委员会</w:t>
      </w:r>
      <w:r w:rsidRPr="00BC07D5">
        <w:rPr>
          <w:rFonts w:ascii="仿宋" w:eastAsia="仿宋" w:hAnsi="仿宋" w:cs="Times New Roman" w:hint="eastAsia"/>
          <w:color w:val="000000"/>
          <w:sz w:val="32"/>
          <w:szCs w:val="32"/>
        </w:rPr>
        <w:t>，负责确定关联交易管理的总体目标、基本政策和管理</w:t>
      </w:r>
      <w:r w:rsidRPr="00BC07D5">
        <w:rPr>
          <w:rFonts w:ascii="仿宋" w:eastAsia="仿宋" w:hAnsi="仿宋" w:cs="Times New Roman" w:hint="eastAsia"/>
          <w:color w:val="000000"/>
          <w:sz w:val="32"/>
          <w:szCs w:val="32"/>
        </w:rPr>
        <w:t>制度，统筹建立关联交易管理、审议、批准和风险控制以及董事会授权的其他事宜。关联交易管理委员会由三名以上董事组成，由独立董事担任负责人，确保关联交易管理委员会的客观性和独立性；</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三）金融控股公司应当设立跨部门的关联交易管理办公室，负责金融控股公司关联交易管理体系的建立和完善以及日常关联交易管理的协调工作，审查关联方清单、关联交易以及关联交易相关报告。关联交易管理办公室</w:t>
      </w:r>
      <w:r w:rsidRPr="00BC07D5">
        <w:rPr>
          <w:rFonts w:ascii="仿宋" w:eastAsia="仿宋" w:hAnsi="仿宋" w:cs="Times New Roman"/>
          <w:color w:val="000000"/>
          <w:sz w:val="32"/>
          <w:szCs w:val="32"/>
        </w:rPr>
        <w:t>成员包括合</w:t>
      </w:r>
      <w:r w:rsidRPr="00BC07D5">
        <w:rPr>
          <w:rFonts w:ascii="仿宋" w:eastAsia="仿宋" w:hAnsi="仿宋" w:cs="Times New Roman"/>
          <w:color w:val="000000"/>
          <w:sz w:val="32"/>
          <w:szCs w:val="32"/>
        </w:rPr>
        <w:lastRenderedPageBreak/>
        <w:t>规、业务、风控、财务等相关部门</w:t>
      </w:r>
      <w:r w:rsidRPr="00BC07D5">
        <w:rPr>
          <w:rFonts w:ascii="仿宋" w:eastAsia="仿宋" w:hAnsi="仿宋" w:cs="Times New Roman" w:hint="eastAsia"/>
          <w:color w:val="000000"/>
          <w:sz w:val="32"/>
          <w:szCs w:val="32"/>
        </w:rPr>
        <w:t>负责人；</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（四）金融控股公司应当明确关联交易管理的牵头部门，并设置专岗，负责维护关联方清单、制定关联交</w:t>
      </w:r>
      <w:r w:rsidRPr="00BC07D5">
        <w:rPr>
          <w:rFonts w:ascii="仿宋" w:eastAsia="仿宋" w:hAnsi="仿宋" w:cs="Times New Roman" w:hint="eastAsia"/>
          <w:color w:val="000000"/>
          <w:sz w:val="32"/>
          <w:szCs w:val="32"/>
        </w:rPr>
        <w:t>易管理制度、开展日常关联交易管理等工作。</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金融控股公司</w:t>
      </w:r>
      <w:r w:rsidRPr="00BC07D5">
        <w:rPr>
          <w:rFonts w:ascii="仿宋" w:eastAsia="仿宋" w:hAnsi="仿宋" w:cs="Times New Roman"/>
          <w:color w:val="000000"/>
          <w:sz w:val="32"/>
          <w:szCs w:val="32"/>
        </w:rPr>
        <w:t>关联交易管理委员会、</w:t>
      </w:r>
      <w:r w:rsidRPr="00BC07D5">
        <w:rPr>
          <w:rFonts w:ascii="仿宋" w:eastAsia="仿宋" w:hAnsi="仿宋" w:cs="Times New Roman" w:hint="eastAsia"/>
          <w:color w:val="000000"/>
          <w:sz w:val="32"/>
          <w:szCs w:val="32"/>
        </w:rPr>
        <w:t>关联交易管理办公室及相关业务部门负责人</w:t>
      </w:r>
      <w:r w:rsidRPr="00BC07D5">
        <w:rPr>
          <w:rFonts w:ascii="仿宋" w:eastAsia="仿宋" w:hAnsi="仿宋" w:cs="Times New Roman"/>
          <w:color w:val="000000"/>
          <w:sz w:val="32"/>
          <w:szCs w:val="32"/>
        </w:rPr>
        <w:t>对本级关联交易的合规性承担管理责任，对附属机构关联交易承担指导监督责任。</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w:t>
      </w:r>
      <w:r w:rsidRPr="00BC07D5">
        <w:rPr>
          <w:rFonts w:ascii="仿宋" w:eastAsia="仿宋" w:hAnsi="仿宋" w:cs="Times New Roman" w:hint="eastAsia"/>
          <w:color w:val="000000"/>
          <w:sz w:val="32"/>
          <w:szCs w:val="32"/>
        </w:rPr>
        <w:t>十九</w:t>
      </w:r>
      <w:r w:rsidRPr="00BC07D5">
        <w:rPr>
          <w:rFonts w:ascii="仿宋" w:eastAsia="仿宋" w:hAnsi="仿宋" w:cs="Times New Roman"/>
          <w:color w:val="000000"/>
          <w:sz w:val="32"/>
          <w:szCs w:val="32"/>
        </w:rPr>
        <w:t>条【</w:t>
      </w:r>
      <w:r w:rsidRPr="00BC07D5">
        <w:rPr>
          <w:rFonts w:ascii="仿宋" w:eastAsia="仿宋" w:hAnsi="仿宋" w:cs="Times New Roman" w:hint="eastAsia"/>
          <w:color w:val="000000"/>
          <w:sz w:val="32"/>
          <w:szCs w:val="32"/>
        </w:rPr>
        <w:t>关联方</w:t>
      </w:r>
      <w:r w:rsidRPr="00BC07D5">
        <w:rPr>
          <w:rFonts w:ascii="仿宋" w:eastAsia="仿宋" w:hAnsi="仿宋" w:cs="Times New Roman"/>
          <w:color w:val="000000"/>
          <w:sz w:val="32"/>
          <w:szCs w:val="32"/>
        </w:rPr>
        <w:t>信息档案】金融控股公司应当建立</w:t>
      </w:r>
      <w:r w:rsidRPr="00BC07D5">
        <w:rPr>
          <w:rFonts w:ascii="仿宋" w:eastAsia="仿宋" w:hAnsi="仿宋" w:cs="Times New Roman" w:hint="eastAsia"/>
          <w:color w:val="000000"/>
          <w:sz w:val="32"/>
          <w:szCs w:val="32"/>
        </w:rPr>
        <w:t>本级的</w:t>
      </w:r>
      <w:r w:rsidRPr="00BC07D5">
        <w:rPr>
          <w:rFonts w:ascii="仿宋" w:eastAsia="仿宋" w:hAnsi="仿宋" w:cs="Times New Roman"/>
          <w:color w:val="000000"/>
          <w:sz w:val="32"/>
          <w:szCs w:val="32"/>
        </w:rPr>
        <w:t>关联方信息档案，至少每半年更新一次。关联交易管理办公室负责关联方信息档案的更新、维护、分类和汇总等工作，通过多种方式对有关信息进行必要的核实验证，并及时在集团内进行信息共享，</w:t>
      </w:r>
      <w:r w:rsidRPr="00BC07D5">
        <w:rPr>
          <w:rFonts w:ascii="仿宋" w:eastAsia="仿宋" w:hAnsi="仿宋" w:cs="Times New Roman" w:hint="eastAsia"/>
          <w:color w:val="000000"/>
          <w:sz w:val="32"/>
          <w:szCs w:val="32"/>
        </w:rPr>
        <w:t>确保附属机构能够及时识别</w:t>
      </w:r>
      <w:r w:rsidRPr="00BC07D5">
        <w:rPr>
          <w:rFonts w:ascii="仿宋" w:eastAsia="仿宋" w:hAnsi="仿宋" w:cs="Times New Roman"/>
          <w:color w:val="000000"/>
          <w:sz w:val="32"/>
          <w:szCs w:val="32"/>
        </w:rPr>
        <w:t>集团内部交易和集团对外关联交易。</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金融控股公司应当在董事、监事和高级管理人员任职资格备案时，向中国人民银行</w:t>
      </w:r>
      <w:r w:rsidRPr="00BC07D5">
        <w:rPr>
          <w:rFonts w:ascii="仿宋" w:eastAsia="仿宋" w:hAnsi="仿宋" w:cs="Times New Roman" w:hint="eastAsia"/>
          <w:color w:val="000000"/>
          <w:sz w:val="32"/>
          <w:szCs w:val="32"/>
        </w:rPr>
        <w:t>及其</w:t>
      </w:r>
      <w:r w:rsidRPr="00BC07D5">
        <w:rPr>
          <w:rFonts w:ascii="仿宋" w:eastAsia="仿宋" w:hAnsi="仿宋" w:cs="Times New Roman"/>
          <w:color w:val="000000"/>
          <w:sz w:val="32"/>
          <w:szCs w:val="32"/>
        </w:rPr>
        <w:t>住所地</w:t>
      </w:r>
      <w:r w:rsidRPr="00BC07D5">
        <w:rPr>
          <w:rFonts w:ascii="仿宋" w:eastAsia="仿宋" w:hAnsi="仿宋" w:cs="Times New Roman" w:hint="eastAsia"/>
          <w:color w:val="000000"/>
          <w:sz w:val="32"/>
          <w:szCs w:val="32"/>
        </w:rPr>
        <w:t>分支机构</w:t>
      </w:r>
      <w:r w:rsidRPr="00BC07D5">
        <w:rPr>
          <w:rFonts w:ascii="仿宋" w:eastAsia="仿宋" w:hAnsi="仿宋" w:cs="Times New Roman"/>
          <w:color w:val="000000"/>
          <w:sz w:val="32"/>
          <w:szCs w:val="32"/>
        </w:rPr>
        <w:t>报告其关联方情况。具有投融资决策等核心业务审批或决策权的人员，应当自任职之日起十个工作日内，向金融控股公司</w:t>
      </w:r>
      <w:r w:rsidRPr="00BC07D5">
        <w:rPr>
          <w:rFonts w:ascii="仿宋" w:eastAsia="仿宋" w:hAnsi="仿宋" w:cs="Times New Roman" w:hint="eastAsia"/>
          <w:color w:val="000000"/>
          <w:sz w:val="32"/>
          <w:szCs w:val="32"/>
        </w:rPr>
        <w:t>、</w:t>
      </w:r>
      <w:r w:rsidRPr="00BC07D5">
        <w:rPr>
          <w:rFonts w:ascii="仿宋" w:eastAsia="仿宋" w:hAnsi="仿宋" w:cs="Times New Roman"/>
          <w:color w:val="000000"/>
          <w:sz w:val="32"/>
          <w:szCs w:val="32"/>
        </w:rPr>
        <w:t>中国人民银行</w:t>
      </w:r>
      <w:r w:rsidRPr="00BC07D5">
        <w:rPr>
          <w:rFonts w:ascii="仿宋" w:eastAsia="仿宋" w:hAnsi="仿宋" w:cs="Times New Roman" w:hint="eastAsia"/>
          <w:color w:val="000000"/>
          <w:sz w:val="32"/>
          <w:szCs w:val="32"/>
        </w:rPr>
        <w:t>及其</w:t>
      </w:r>
      <w:r w:rsidRPr="00BC07D5">
        <w:rPr>
          <w:rFonts w:ascii="仿宋" w:eastAsia="仿宋" w:hAnsi="仿宋" w:cs="Times New Roman"/>
          <w:color w:val="000000"/>
          <w:sz w:val="32"/>
          <w:szCs w:val="32"/>
        </w:rPr>
        <w:t>住所地</w:t>
      </w:r>
      <w:r w:rsidRPr="00BC07D5">
        <w:rPr>
          <w:rFonts w:ascii="仿宋" w:eastAsia="仿宋" w:hAnsi="仿宋" w:cs="Times New Roman" w:hint="eastAsia"/>
          <w:color w:val="000000"/>
          <w:sz w:val="32"/>
          <w:szCs w:val="32"/>
        </w:rPr>
        <w:t>分支机构</w:t>
      </w:r>
      <w:r w:rsidRPr="00BC07D5">
        <w:rPr>
          <w:rFonts w:ascii="仿宋" w:eastAsia="仿宋" w:hAnsi="仿宋" w:cs="Times New Roman"/>
          <w:color w:val="000000"/>
          <w:sz w:val="32"/>
          <w:szCs w:val="32"/>
        </w:rPr>
        <w:t>报告其关联方情况。自然人、法人或其他非法人组织应当在持有或控制金融控股公司</w:t>
      </w:r>
      <w:r w:rsidRPr="00BC07D5">
        <w:rPr>
          <w:rFonts w:ascii="仿宋" w:eastAsia="仿宋" w:hAnsi="仿宋" w:cs="Times New Roman"/>
          <w:color w:val="000000"/>
          <w:sz w:val="32"/>
          <w:szCs w:val="32"/>
        </w:rPr>
        <w:t>5%</w:t>
      </w:r>
      <w:r w:rsidRPr="00BC07D5">
        <w:rPr>
          <w:rFonts w:ascii="仿宋" w:eastAsia="仿宋" w:hAnsi="仿宋" w:cs="Times New Roman"/>
          <w:color w:val="000000"/>
          <w:sz w:val="32"/>
          <w:szCs w:val="32"/>
        </w:rPr>
        <w:t>以上股权之日起十个工作日内，向金融控股公司</w:t>
      </w:r>
      <w:r w:rsidRPr="00BC07D5">
        <w:rPr>
          <w:rFonts w:ascii="仿宋" w:eastAsia="仿宋" w:hAnsi="仿宋" w:cs="Times New Roman" w:hint="eastAsia"/>
          <w:color w:val="000000"/>
          <w:sz w:val="32"/>
          <w:szCs w:val="32"/>
        </w:rPr>
        <w:t>、</w:t>
      </w:r>
      <w:r w:rsidRPr="00BC07D5">
        <w:rPr>
          <w:rFonts w:ascii="仿宋" w:eastAsia="仿宋" w:hAnsi="仿宋" w:cs="Times New Roman"/>
          <w:color w:val="000000"/>
          <w:sz w:val="32"/>
          <w:szCs w:val="32"/>
        </w:rPr>
        <w:t>中国人民银行</w:t>
      </w:r>
      <w:r w:rsidRPr="00BC07D5">
        <w:rPr>
          <w:rFonts w:ascii="仿宋" w:eastAsia="仿宋" w:hAnsi="仿宋" w:cs="Times New Roman" w:hint="eastAsia"/>
          <w:color w:val="000000"/>
          <w:sz w:val="32"/>
          <w:szCs w:val="32"/>
        </w:rPr>
        <w:t>及其</w:t>
      </w:r>
      <w:r w:rsidRPr="00BC07D5">
        <w:rPr>
          <w:rFonts w:ascii="仿宋" w:eastAsia="仿宋" w:hAnsi="仿宋" w:cs="Times New Roman"/>
          <w:color w:val="000000"/>
          <w:sz w:val="32"/>
          <w:szCs w:val="32"/>
        </w:rPr>
        <w:t>住所地</w:t>
      </w:r>
      <w:r w:rsidRPr="00BC07D5">
        <w:rPr>
          <w:rFonts w:ascii="仿宋" w:eastAsia="仿宋" w:hAnsi="仿宋" w:cs="Times New Roman" w:hint="eastAsia"/>
          <w:color w:val="000000"/>
          <w:sz w:val="32"/>
          <w:szCs w:val="32"/>
        </w:rPr>
        <w:t>分支机构</w:t>
      </w:r>
      <w:r w:rsidRPr="00BC07D5">
        <w:rPr>
          <w:rFonts w:ascii="仿宋" w:eastAsia="仿宋" w:hAnsi="仿宋" w:cs="Times New Roman"/>
          <w:color w:val="000000"/>
          <w:sz w:val="32"/>
          <w:szCs w:val="32"/>
        </w:rPr>
        <w:t>报告其关联方情况，并提交不与金融控股公司或其</w:t>
      </w:r>
      <w:r w:rsidRPr="00BC07D5">
        <w:rPr>
          <w:rFonts w:ascii="仿宋" w:eastAsia="仿宋" w:hAnsi="仿宋" w:cs="Times New Roman" w:hint="eastAsia"/>
          <w:color w:val="000000"/>
          <w:sz w:val="32"/>
          <w:szCs w:val="32"/>
        </w:rPr>
        <w:t>附属机构</w:t>
      </w:r>
      <w:r w:rsidRPr="00BC07D5">
        <w:rPr>
          <w:rFonts w:ascii="仿宋" w:eastAsia="仿宋" w:hAnsi="仿宋" w:cs="Times New Roman"/>
          <w:color w:val="000000"/>
          <w:sz w:val="32"/>
          <w:szCs w:val="32"/>
        </w:rPr>
        <w:t>进行不当关联交易的承诺函。相关报</w:t>
      </w:r>
      <w:r w:rsidRPr="00BC07D5">
        <w:rPr>
          <w:rFonts w:ascii="仿宋" w:eastAsia="仿宋" w:hAnsi="仿宋" w:cs="Times New Roman"/>
          <w:color w:val="000000"/>
          <w:sz w:val="32"/>
          <w:szCs w:val="32"/>
        </w:rPr>
        <w:lastRenderedPageBreak/>
        <w:t>告人应如实报告，不得瞒报、漏报、错报。</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金融控股</w:t>
      </w:r>
      <w:r w:rsidRPr="00BC07D5">
        <w:rPr>
          <w:rFonts w:ascii="仿宋" w:eastAsia="仿宋" w:hAnsi="仿宋" w:cs="Times New Roman" w:hint="eastAsia"/>
          <w:color w:val="000000"/>
          <w:sz w:val="32"/>
          <w:szCs w:val="32"/>
        </w:rPr>
        <w:t>公司附属机构负责建立本机构的关联方信息档案，并及时向金融控股公司报送，配合做好金融控股公司的关联交易管理工作。</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第二十条【信息系统】</w:t>
      </w:r>
      <w:r w:rsidRPr="00BC07D5">
        <w:rPr>
          <w:rFonts w:ascii="仿宋" w:eastAsia="仿宋" w:hAnsi="仿宋" w:cs="Times New Roman"/>
          <w:color w:val="000000"/>
          <w:sz w:val="32"/>
          <w:szCs w:val="32"/>
        </w:rPr>
        <w:t>金融控股公司应当</w:t>
      </w:r>
      <w:r w:rsidRPr="00BC07D5">
        <w:rPr>
          <w:rFonts w:ascii="仿宋" w:eastAsia="仿宋" w:hAnsi="仿宋" w:cs="Times New Roman" w:hint="eastAsia"/>
          <w:color w:val="000000"/>
          <w:sz w:val="32"/>
          <w:szCs w:val="32"/>
        </w:rPr>
        <w:t>建立关联交易管理信息系统，</w:t>
      </w:r>
      <w:r w:rsidRPr="00BC07D5">
        <w:rPr>
          <w:rFonts w:ascii="仿宋" w:eastAsia="仿宋" w:hAnsi="仿宋" w:cs="Times New Roman"/>
          <w:color w:val="000000"/>
          <w:sz w:val="32"/>
          <w:szCs w:val="32"/>
        </w:rPr>
        <w:t>提高关联方和关联交易管理的信息化和智能化水平，</w:t>
      </w:r>
      <w:r w:rsidRPr="00BC07D5">
        <w:rPr>
          <w:rFonts w:ascii="仿宋" w:eastAsia="仿宋" w:hAnsi="仿宋" w:cs="Times New Roman" w:hint="eastAsia"/>
          <w:color w:val="000000"/>
          <w:sz w:val="32"/>
          <w:szCs w:val="32"/>
        </w:rPr>
        <w:t>按照交易金额、交易频率、交易时间等因素对关联方的重要性进行排序，并及时向</w:t>
      </w:r>
      <w:r w:rsidRPr="00BC07D5">
        <w:rPr>
          <w:rFonts w:ascii="仿宋" w:eastAsia="仿宋" w:hAnsi="仿宋" w:cs="Times New Roman"/>
          <w:color w:val="000000"/>
          <w:sz w:val="32"/>
          <w:szCs w:val="32"/>
        </w:rPr>
        <w:t>中国人民银行</w:t>
      </w:r>
      <w:r w:rsidRPr="00BC07D5">
        <w:rPr>
          <w:rFonts w:ascii="仿宋" w:eastAsia="仿宋" w:hAnsi="仿宋" w:cs="Times New Roman" w:hint="eastAsia"/>
          <w:color w:val="000000"/>
          <w:sz w:val="32"/>
          <w:szCs w:val="32"/>
        </w:rPr>
        <w:t>及其</w:t>
      </w:r>
      <w:r w:rsidRPr="00BC07D5">
        <w:rPr>
          <w:rFonts w:ascii="仿宋" w:eastAsia="仿宋" w:hAnsi="仿宋" w:cs="Times New Roman"/>
          <w:color w:val="000000"/>
          <w:sz w:val="32"/>
          <w:szCs w:val="32"/>
        </w:rPr>
        <w:t>住所地</w:t>
      </w:r>
      <w:r w:rsidRPr="00BC07D5">
        <w:rPr>
          <w:rFonts w:ascii="仿宋" w:eastAsia="仿宋" w:hAnsi="仿宋" w:cs="Times New Roman" w:hint="eastAsia"/>
          <w:color w:val="000000"/>
          <w:sz w:val="32"/>
          <w:szCs w:val="32"/>
        </w:rPr>
        <w:t>分支机构</w:t>
      </w:r>
      <w:r w:rsidRPr="00BC07D5">
        <w:rPr>
          <w:rFonts w:ascii="仿宋" w:eastAsia="仿宋" w:hAnsi="仿宋" w:cs="Times New Roman"/>
          <w:color w:val="000000"/>
          <w:sz w:val="32"/>
          <w:szCs w:val="32"/>
        </w:rPr>
        <w:t>报送关联方、重大关联交易、季度关联交易情况等信息，保证数据的真实性、准确性和完整性。</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w:t>
      </w:r>
      <w:r w:rsidRPr="00BC07D5">
        <w:rPr>
          <w:rFonts w:ascii="仿宋" w:eastAsia="仿宋" w:hAnsi="仿宋" w:cs="Times New Roman" w:hint="eastAsia"/>
          <w:color w:val="000000"/>
          <w:sz w:val="32"/>
          <w:szCs w:val="32"/>
        </w:rPr>
        <w:t>二十一</w:t>
      </w:r>
      <w:r w:rsidRPr="00BC07D5">
        <w:rPr>
          <w:rFonts w:ascii="仿宋" w:eastAsia="仿宋" w:hAnsi="仿宋" w:cs="Times New Roman"/>
          <w:color w:val="000000"/>
          <w:sz w:val="32"/>
          <w:szCs w:val="32"/>
        </w:rPr>
        <w:t>条【关联交易定价】</w:t>
      </w:r>
      <w:r w:rsidRPr="00BC07D5">
        <w:rPr>
          <w:rFonts w:ascii="仿宋" w:eastAsia="仿宋" w:hAnsi="仿宋" w:cs="Times New Roman" w:hint="eastAsia"/>
          <w:color w:val="000000"/>
          <w:sz w:val="32"/>
          <w:szCs w:val="32"/>
        </w:rPr>
        <w:t>金融控股公司的关联交易应当按照商业</w:t>
      </w:r>
      <w:r w:rsidRPr="00BC07D5">
        <w:rPr>
          <w:rFonts w:ascii="仿宋" w:eastAsia="仿宋" w:hAnsi="仿宋" w:cs="Times New Roman"/>
          <w:color w:val="000000"/>
          <w:sz w:val="32"/>
          <w:szCs w:val="32"/>
        </w:rPr>
        <w:t>合理</w:t>
      </w:r>
      <w:r w:rsidRPr="00BC07D5">
        <w:rPr>
          <w:rFonts w:ascii="仿宋" w:eastAsia="仿宋" w:hAnsi="仿宋" w:cs="Times New Roman" w:hint="eastAsia"/>
          <w:color w:val="000000"/>
          <w:sz w:val="32"/>
          <w:szCs w:val="32"/>
        </w:rPr>
        <w:t>原则，具有真实的业务背景、条件合理、定价</w:t>
      </w:r>
      <w:r w:rsidRPr="00BC07D5">
        <w:rPr>
          <w:rFonts w:ascii="仿宋" w:eastAsia="仿宋" w:hAnsi="仿宋" w:cs="Times New Roman"/>
          <w:color w:val="000000"/>
          <w:sz w:val="32"/>
          <w:szCs w:val="32"/>
        </w:rPr>
        <w:t>公允，明确交易对价的确定原则及定价方法。关联交易定价应当以明确、公允的市场价格为基础；无法获取市场价格的，可以参考与独立第三方的交易条件和价格；因交易特殊性而无法按照前述方法进行定价的，应当</w:t>
      </w:r>
      <w:bookmarkStart w:id="5" w:name="_Hlk84533242"/>
      <w:r w:rsidRPr="00BC07D5">
        <w:rPr>
          <w:rFonts w:ascii="仿宋" w:eastAsia="仿宋" w:hAnsi="仿宋" w:cs="Times New Roman"/>
          <w:color w:val="000000"/>
          <w:sz w:val="32"/>
          <w:szCs w:val="32"/>
        </w:rPr>
        <w:t>对该定价的公允性和条件设定的合理性作出说明</w:t>
      </w:r>
      <w:bookmarkEnd w:id="5"/>
      <w:r w:rsidRPr="00BC07D5">
        <w:rPr>
          <w:rFonts w:ascii="仿宋" w:eastAsia="仿宋" w:hAnsi="仿宋" w:cs="Times New Roman"/>
          <w:color w:val="000000"/>
          <w:sz w:val="32"/>
          <w:szCs w:val="32"/>
        </w:rPr>
        <w:t>。必要时关联交易</w:t>
      </w:r>
      <w:r w:rsidRPr="00BC07D5">
        <w:rPr>
          <w:rFonts w:ascii="仿宋" w:eastAsia="仿宋" w:hAnsi="仿宋" w:cs="Times New Roman" w:hint="eastAsia"/>
          <w:color w:val="000000"/>
          <w:sz w:val="32"/>
          <w:szCs w:val="32"/>
        </w:rPr>
        <w:t>管理</w:t>
      </w:r>
      <w:r w:rsidRPr="00BC07D5">
        <w:rPr>
          <w:rFonts w:ascii="仿宋" w:eastAsia="仿宋" w:hAnsi="仿宋" w:cs="Times New Roman"/>
          <w:color w:val="000000"/>
          <w:sz w:val="32"/>
          <w:szCs w:val="32"/>
        </w:rPr>
        <w:t>委员会可以聘请财务顾问等独立第三方出具报告，作为判断的依据。</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w:t>
      </w:r>
      <w:r w:rsidRPr="00BC07D5">
        <w:rPr>
          <w:rFonts w:ascii="仿宋" w:eastAsia="仿宋" w:hAnsi="仿宋" w:cs="Times New Roman" w:hint="eastAsia"/>
          <w:color w:val="000000"/>
          <w:sz w:val="32"/>
          <w:szCs w:val="32"/>
        </w:rPr>
        <w:t>二十二</w:t>
      </w:r>
      <w:r w:rsidRPr="00BC07D5">
        <w:rPr>
          <w:rFonts w:ascii="仿宋" w:eastAsia="仿宋" w:hAnsi="仿宋" w:cs="Times New Roman"/>
          <w:color w:val="000000"/>
          <w:sz w:val="32"/>
          <w:szCs w:val="32"/>
        </w:rPr>
        <w:t>条【交易限额】金融控股公司应当根据集团实际业务和风险状况，</w:t>
      </w:r>
      <w:r w:rsidRPr="00BC07D5">
        <w:rPr>
          <w:rFonts w:ascii="仿宋" w:eastAsia="仿宋" w:hAnsi="仿宋" w:cs="Times New Roman" w:hint="eastAsia"/>
          <w:color w:val="000000"/>
          <w:sz w:val="32"/>
          <w:szCs w:val="32"/>
        </w:rPr>
        <w:t>控制关联交易的数量和规模，按照交易类型、单一关联方、全部关联方等不同分类，</w:t>
      </w:r>
      <w:r w:rsidRPr="00BC07D5">
        <w:rPr>
          <w:rFonts w:ascii="仿宋" w:eastAsia="仿宋" w:hAnsi="仿宋" w:cs="Times New Roman"/>
          <w:color w:val="000000"/>
          <w:sz w:val="32"/>
          <w:szCs w:val="32"/>
        </w:rPr>
        <w:t>审慎设置关键</w:t>
      </w:r>
      <w:r w:rsidRPr="00BC07D5">
        <w:rPr>
          <w:rFonts w:ascii="仿宋" w:eastAsia="仿宋" w:hAnsi="仿宋" w:cs="Times New Roman"/>
          <w:color w:val="000000"/>
          <w:sz w:val="32"/>
          <w:szCs w:val="32"/>
        </w:rPr>
        <w:lastRenderedPageBreak/>
        <w:t>业务领域</w:t>
      </w:r>
      <w:r w:rsidRPr="00BC07D5">
        <w:rPr>
          <w:rFonts w:ascii="仿宋" w:eastAsia="仿宋" w:hAnsi="仿宋" w:cs="Times New Roman" w:hint="eastAsia"/>
          <w:color w:val="000000"/>
          <w:sz w:val="32"/>
          <w:szCs w:val="32"/>
        </w:rPr>
        <w:t>关联交易量化限制指标，并定期对交易限额</w:t>
      </w:r>
      <w:r w:rsidRPr="00BC07D5">
        <w:rPr>
          <w:rFonts w:ascii="仿宋" w:eastAsia="仿宋" w:hAnsi="仿宋" w:cs="Times New Roman" w:hint="eastAsia"/>
          <w:color w:val="000000"/>
          <w:sz w:val="32"/>
          <w:szCs w:val="32"/>
        </w:rPr>
        <w:t>的有效性进行评估，维护附属机构的经营独立性，避免风险过度集中。包括：</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（一）金融控股公司本级的关联交易限额；</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（二）金融控股公司附属机构的关联交易限额；</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（三）集团内部交易的限额；</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（四）集团对外关联交易的限额。</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国务院金融监督管理机构另有规定的，从</w:t>
      </w:r>
      <w:r w:rsidRPr="00BC07D5">
        <w:rPr>
          <w:rFonts w:ascii="仿宋" w:eastAsia="仿宋" w:hAnsi="仿宋" w:cs="Times New Roman"/>
          <w:color w:val="000000"/>
          <w:sz w:val="32"/>
          <w:szCs w:val="32"/>
        </w:rPr>
        <w:t>其</w:t>
      </w:r>
      <w:r w:rsidRPr="00BC07D5">
        <w:rPr>
          <w:rFonts w:ascii="仿宋" w:eastAsia="仿宋" w:hAnsi="仿宋" w:cs="Times New Roman" w:hint="eastAsia"/>
          <w:color w:val="000000"/>
          <w:sz w:val="32"/>
          <w:szCs w:val="32"/>
        </w:rPr>
        <w:t>规定。</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金融控股公司</w:t>
      </w:r>
      <w:r w:rsidRPr="00BC07D5">
        <w:rPr>
          <w:rFonts w:ascii="仿宋" w:eastAsia="仿宋" w:hAnsi="仿宋" w:cs="Times New Roman" w:hint="eastAsia"/>
          <w:color w:val="000000"/>
          <w:sz w:val="32"/>
          <w:szCs w:val="32"/>
        </w:rPr>
        <w:t>的上述限额</w:t>
      </w:r>
      <w:r w:rsidRPr="00BC07D5">
        <w:rPr>
          <w:rFonts w:ascii="仿宋" w:eastAsia="仿宋" w:hAnsi="仿宋" w:cs="Times New Roman"/>
          <w:color w:val="000000"/>
          <w:sz w:val="32"/>
          <w:szCs w:val="32"/>
        </w:rPr>
        <w:t>应当</w:t>
      </w:r>
      <w:r w:rsidRPr="00BC07D5">
        <w:rPr>
          <w:rFonts w:ascii="仿宋" w:eastAsia="仿宋" w:hAnsi="仿宋" w:cs="Times New Roman" w:hint="eastAsia"/>
          <w:color w:val="000000"/>
          <w:sz w:val="32"/>
          <w:szCs w:val="32"/>
        </w:rPr>
        <w:t>在经由董事会批准后</w:t>
      </w:r>
      <w:r w:rsidRPr="00BC07D5">
        <w:rPr>
          <w:rFonts w:ascii="仿宋" w:eastAsia="仿宋" w:hAnsi="仿宋" w:cs="Times New Roman"/>
          <w:color w:val="000000"/>
          <w:sz w:val="32"/>
          <w:szCs w:val="32"/>
        </w:rPr>
        <w:t>十个工作日内向中国人民银行</w:t>
      </w:r>
      <w:r w:rsidRPr="00BC07D5">
        <w:rPr>
          <w:rFonts w:ascii="仿宋" w:eastAsia="仿宋" w:hAnsi="仿宋" w:cs="Times New Roman" w:hint="eastAsia"/>
          <w:color w:val="000000"/>
          <w:sz w:val="32"/>
          <w:szCs w:val="32"/>
        </w:rPr>
        <w:t>及其</w:t>
      </w:r>
      <w:r w:rsidRPr="00BC07D5">
        <w:rPr>
          <w:rFonts w:ascii="仿宋" w:eastAsia="仿宋" w:hAnsi="仿宋" w:cs="Times New Roman"/>
          <w:color w:val="000000"/>
          <w:sz w:val="32"/>
          <w:szCs w:val="32"/>
        </w:rPr>
        <w:t>住所地</w:t>
      </w:r>
      <w:r w:rsidRPr="00BC07D5">
        <w:rPr>
          <w:rFonts w:ascii="仿宋" w:eastAsia="仿宋" w:hAnsi="仿宋" w:cs="Times New Roman" w:hint="eastAsia"/>
          <w:color w:val="000000"/>
          <w:sz w:val="32"/>
          <w:szCs w:val="32"/>
        </w:rPr>
        <w:t>分支机构</w:t>
      </w:r>
      <w:r w:rsidRPr="00BC07D5">
        <w:rPr>
          <w:rFonts w:ascii="仿宋" w:eastAsia="仿宋" w:hAnsi="仿宋" w:cs="Times New Roman"/>
          <w:color w:val="000000"/>
          <w:sz w:val="32"/>
          <w:szCs w:val="32"/>
        </w:rPr>
        <w:t>报告，并详细说明限额设置的合理性</w:t>
      </w:r>
      <w:r w:rsidRPr="00BC07D5">
        <w:rPr>
          <w:rFonts w:ascii="仿宋" w:eastAsia="仿宋" w:hAnsi="仿宋" w:cs="Times New Roman" w:hint="eastAsia"/>
          <w:color w:val="000000"/>
          <w:sz w:val="32"/>
          <w:szCs w:val="32"/>
        </w:rPr>
        <w:t>。</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w:t>
      </w:r>
      <w:r w:rsidRPr="00BC07D5">
        <w:rPr>
          <w:rFonts w:ascii="仿宋" w:eastAsia="仿宋" w:hAnsi="仿宋" w:cs="Times New Roman" w:hint="eastAsia"/>
          <w:color w:val="000000"/>
          <w:sz w:val="32"/>
          <w:szCs w:val="32"/>
        </w:rPr>
        <w:t>二十三</w:t>
      </w:r>
      <w:r w:rsidRPr="00BC07D5">
        <w:rPr>
          <w:rFonts w:ascii="仿宋" w:eastAsia="仿宋" w:hAnsi="仿宋" w:cs="Times New Roman"/>
          <w:color w:val="000000"/>
          <w:sz w:val="32"/>
          <w:szCs w:val="32"/>
        </w:rPr>
        <w:t>条【禁止行为】金融控股公司</w:t>
      </w:r>
      <w:r w:rsidRPr="00BC07D5">
        <w:rPr>
          <w:rFonts w:ascii="仿宋" w:eastAsia="仿宋" w:hAnsi="仿宋" w:cs="Times New Roman" w:hint="eastAsia"/>
          <w:color w:val="000000"/>
          <w:sz w:val="32"/>
          <w:szCs w:val="32"/>
        </w:rPr>
        <w:t>及其附属机构</w:t>
      </w:r>
      <w:r w:rsidRPr="00BC07D5">
        <w:rPr>
          <w:rFonts w:ascii="仿宋" w:eastAsia="仿宋" w:hAnsi="仿宋" w:cs="Times New Roman"/>
          <w:color w:val="000000"/>
          <w:sz w:val="32"/>
          <w:szCs w:val="32"/>
        </w:rPr>
        <w:t>不得进行以下关联交易</w:t>
      </w:r>
      <w:r w:rsidRPr="00BC07D5">
        <w:rPr>
          <w:rFonts w:ascii="仿宋" w:eastAsia="仿宋" w:hAnsi="仿宋" w:cs="Times New Roman" w:hint="eastAsia"/>
          <w:color w:val="000000"/>
          <w:sz w:val="32"/>
          <w:szCs w:val="32"/>
        </w:rPr>
        <w:t>：</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（一）通过集团内部交易</w:t>
      </w:r>
      <w:r w:rsidRPr="00BC07D5">
        <w:rPr>
          <w:rFonts w:ascii="仿宋" w:eastAsia="仿宋" w:hAnsi="仿宋" w:cs="Times New Roman" w:hint="eastAsia"/>
          <w:color w:val="000000"/>
          <w:sz w:val="32"/>
          <w:szCs w:val="32"/>
        </w:rPr>
        <w:t>虚构交易、转移收入与风险或进行</w:t>
      </w:r>
      <w:r w:rsidRPr="00BC07D5">
        <w:rPr>
          <w:rFonts w:ascii="仿宋" w:eastAsia="仿宋" w:hAnsi="仿宋" w:cs="Times New Roman"/>
          <w:color w:val="000000"/>
          <w:sz w:val="32"/>
          <w:szCs w:val="32"/>
        </w:rPr>
        <w:t>监管套利，或者通过第三方间接进行内部交易</w:t>
      </w:r>
      <w:r w:rsidRPr="00BC07D5">
        <w:rPr>
          <w:rFonts w:ascii="仿宋" w:eastAsia="仿宋" w:hAnsi="仿宋" w:cs="Times New Roman" w:hint="eastAsia"/>
          <w:color w:val="000000"/>
          <w:sz w:val="32"/>
          <w:szCs w:val="32"/>
        </w:rPr>
        <w:t>，损害金融控股公司及其附属机构的稳健性</w:t>
      </w:r>
      <w:r w:rsidRPr="00BC07D5">
        <w:rPr>
          <w:rFonts w:ascii="仿宋" w:eastAsia="仿宋" w:hAnsi="仿宋" w:cs="Times New Roman"/>
          <w:color w:val="000000"/>
          <w:sz w:val="32"/>
          <w:szCs w:val="32"/>
        </w:rPr>
        <w:t>；</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（二）通过集团对外关联交易进行不当利益输送，损害金融控股公司及其附属机构的稳健性；</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（三）通过隐匿关联关系、拆分交易、设计复杂交易结构等各种隐蔽方式规避内部审查、外部监管以及报告披露义务；</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（四）</w:t>
      </w:r>
      <w:r w:rsidRPr="00BC07D5">
        <w:rPr>
          <w:rFonts w:ascii="仿宋" w:eastAsia="仿宋" w:hAnsi="仿宋" w:cs="Times New Roman"/>
          <w:color w:val="000000"/>
          <w:sz w:val="32"/>
          <w:szCs w:val="32"/>
        </w:rPr>
        <w:t>关联交易协议条件显著偏离与非关联方进行的同</w:t>
      </w:r>
      <w:r w:rsidRPr="00BC07D5">
        <w:rPr>
          <w:rFonts w:ascii="仿宋" w:eastAsia="仿宋" w:hAnsi="仿宋" w:cs="Times New Roman"/>
          <w:color w:val="000000"/>
          <w:sz w:val="32"/>
          <w:szCs w:val="32"/>
        </w:rPr>
        <w:lastRenderedPageBreak/>
        <w:t>类交易，以及采用明显偏离市场价格或缺乏合理依据的定价基准；</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（五）金融</w:t>
      </w:r>
      <w:r w:rsidRPr="00BC07D5">
        <w:rPr>
          <w:rFonts w:ascii="仿宋" w:eastAsia="仿宋" w:hAnsi="仿宋" w:cs="Times New Roman"/>
          <w:color w:val="000000"/>
          <w:sz w:val="32"/>
          <w:szCs w:val="32"/>
        </w:rPr>
        <w:t>控股公司附属金融机构（财务公司除外）向金融控股公司提供融资；</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（六）金融控股公司附属</w:t>
      </w:r>
      <w:r w:rsidRPr="00BC07D5">
        <w:rPr>
          <w:rFonts w:ascii="仿宋" w:eastAsia="仿宋" w:hAnsi="仿宋" w:cs="Times New Roman"/>
          <w:color w:val="000000"/>
          <w:sz w:val="32"/>
          <w:szCs w:val="32"/>
        </w:rPr>
        <w:t>金融</w:t>
      </w:r>
      <w:r w:rsidRPr="00BC07D5">
        <w:rPr>
          <w:rFonts w:ascii="仿宋" w:eastAsia="仿宋" w:hAnsi="仿宋" w:cs="Times New Roman" w:hint="eastAsia"/>
          <w:color w:val="000000"/>
          <w:sz w:val="32"/>
          <w:szCs w:val="32"/>
        </w:rPr>
        <w:t>机构</w:t>
      </w:r>
      <w:r w:rsidRPr="00BC07D5">
        <w:rPr>
          <w:rFonts w:ascii="仿宋" w:eastAsia="仿宋" w:hAnsi="仿宋" w:cs="Times New Roman"/>
          <w:color w:val="000000"/>
          <w:sz w:val="32"/>
          <w:szCs w:val="32"/>
        </w:rPr>
        <w:t>（财务公司除外）</w:t>
      </w:r>
      <w:r w:rsidRPr="00BC07D5">
        <w:rPr>
          <w:rFonts w:ascii="仿宋" w:eastAsia="仿宋" w:hAnsi="仿宋" w:cs="Times New Roman" w:hint="eastAsia"/>
          <w:color w:val="000000"/>
          <w:sz w:val="32"/>
          <w:szCs w:val="32"/>
        </w:rPr>
        <w:t>向金融控股公司</w:t>
      </w:r>
      <w:r w:rsidRPr="00BC07D5">
        <w:rPr>
          <w:rFonts w:ascii="仿宋" w:eastAsia="仿宋" w:hAnsi="仿宋" w:cs="Times New Roman" w:hint="eastAsia"/>
          <w:color w:val="000000"/>
          <w:sz w:val="32"/>
          <w:szCs w:val="32"/>
        </w:rPr>
        <w:t>其他关联方提供的融资或担保，超过提供融资或担保的附属机构</w:t>
      </w:r>
      <w:r w:rsidRPr="00BC07D5">
        <w:rPr>
          <w:rFonts w:ascii="仿宋" w:eastAsia="仿宋" w:hAnsi="仿宋" w:cs="Times New Roman"/>
          <w:color w:val="000000"/>
          <w:sz w:val="32"/>
          <w:szCs w:val="32"/>
        </w:rPr>
        <w:t>上一年度末经审计的</w:t>
      </w:r>
      <w:r w:rsidRPr="00BC07D5">
        <w:rPr>
          <w:rFonts w:ascii="仿宋" w:eastAsia="仿宋" w:hAnsi="仿宋" w:cs="Times New Roman" w:hint="eastAsia"/>
          <w:color w:val="000000"/>
          <w:sz w:val="32"/>
          <w:szCs w:val="32"/>
        </w:rPr>
        <w:t>资本净额的</w:t>
      </w:r>
      <w:r w:rsidRPr="00BC07D5">
        <w:rPr>
          <w:rFonts w:ascii="仿宋" w:eastAsia="仿宋" w:hAnsi="仿宋" w:cs="Times New Roman" w:hint="eastAsia"/>
          <w:color w:val="000000"/>
          <w:sz w:val="32"/>
          <w:szCs w:val="32"/>
        </w:rPr>
        <w:t>1</w:t>
      </w:r>
      <w:r w:rsidRPr="00BC07D5">
        <w:rPr>
          <w:rFonts w:ascii="仿宋" w:eastAsia="仿宋" w:hAnsi="仿宋" w:cs="Times New Roman"/>
          <w:color w:val="000000"/>
          <w:sz w:val="32"/>
          <w:szCs w:val="32"/>
        </w:rPr>
        <w:t>0%</w:t>
      </w:r>
      <w:r w:rsidRPr="00BC07D5">
        <w:rPr>
          <w:rFonts w:ascii="仿宋" w:eastAsia="仿宋" w:hAnsi="仿宋" w:cs="Times New Roman" w:hint="eastAsia"/>
          <w:color w:val="000000"/>
          <w:sz w:val="32"/>
          <w:szCs w:val="32"/>
        </w:rPr>
        <w:t>，或超过接受融资或担保的金融控股公司关联方</w:t>
      </w:r>
      <w:r w:rsidRPr="00BC07D5">
        <w:rPr>
          <w:rFonts w:ascii="仿宋" w:eastAsia="仿宋" w:hAnsi="仿宋" w:cs="Times New Roman"/>
          <w:color w:val="000000"/>
          <w:sz w:val="32"/>
          <w:szCs w:val="32"/>
        </w:rPr>
        <w:t>上一年度末经审计的</w:t>
      </w:r>
      <w:r w:rsidRPr="00BC07D5">
        <w:rPr>
          <w:rFonts w:ascii="仿宋" w:eastAsia="仿宋" w:hAnsi="仿宋" w:cs="Times New Roman" w:hint="eastAsia"/>
          <w:color w:val="000000"/>
          <w:sz w:val="32"/>
          <w:szCs w:val="32"/>
        </w:rPr>
        <w:t>资本净额或净资产的</w:t>
      </w:r>
      <w:r w:rsidRPr="00BC07D5">
        <w:rPr>
          <w:rFonts w:ascii="仿宋" w:eastAsia="仿宋" w:hAnsi="仿宋" w:cs="Times New Roman" w:hint="eastAsia"/>
          <w:color w:val="000000"/>
          <w:sz w:val="32"/>
          <w:szCs w:val="32"/>
        </w:rPr>
        <w:t>2</w:t>
      </w:r>
      <w:r w:rsidRPr="00BC07D5">
        <w:rPr>
          <w:rFonts w:ascii="仿宋" w:eastAsia="仿宋" w:hAnsi="仿宋" w:cs="Times New Roman"/>
          <w:color w:val="000000"/>
          <w:sz w:val="32"/>
          <w:szCs w:val="32"/>
        </w:rPr>
        <w:t>0%</w:t>
      </w:r>
      <w:r w:rsidRPr="00BC07D5">
        <w:rPr>
          <w:rFonts w:ascii="仿宋" w:eastAsia="仿宋" w:hAnsi="仿宋" w:cs="Times New Roman" w:hint="eastAsia"/>
          <w:color w:val="000000"/>
          <w:sz w:val="32"/>
          <w:szCs w:val="32"/>
        </w:rPr>
        <w:t>。国务院金融监督管理</w:t>
      </w:r>
      <w:r w:rsidRPr="00BC07D5">
        <w:rPr>
          <w:rFonts w:ascii="仿宋" w:eastAsia="仿宋" w:hAnsi="仿宋" w:cs="Times New Roman"/>
          <w:color w:val="000000"/>
          <w:sz w:val="32"/>
          <w:szCs w:val="32"/>
        </w:rPr>
        <w:t>机构</w:t>
      </w:r>
      <w:r w:rsidR="00BF17A7">
        <w:rPr>
          <w:rFonts w:ascii="仿宋" w:eastAsia="仿宋" w:hAnsi="仿宋" w:cs="Times New Roman" w:hint="eastAsia"/>
          <w:color w:val="000000"/>
          <w:sz w:val="32"/>
          <w:szCs w:val="32"/>
        </w:rPr>
        <w:t>另有规定的除外；</w:t>
      </w:r>
      <w:bookmarkStart w:id="6" w:name="_GoBack"/>
      <w:bookmarkEnd w:id="6"/>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w:t>
      </w:r>
      <w:r w:rsidRPr="00BC07D5">
        <w:rPr>
          <w:rFonts w:ascii="仿宋" w:eastAsia="仿宋" w:hAnsi="仿宋" w:cs="Times New Roman" w:hint="eastAsia"/>
          <w:color w:val="000000"/>
          <w:sz w:val="32"/>
          <w:szCs w:val="32"/>
        </w:rPr>
        <w:t>七</w:t>
      </w:r>
      <w:r w:rsidRPr="00BC07D5">
        <w:rPr>
          <w:rFonts w:ascii="仿宋" w:eastAsia="仿宋" w:hAnsi="仿宋" w:cs="Times New Roman"/>
          <w:color w:val="000000"/>
          <w:sz w:val="32"/>
          <w:szCs w:val="32"/>
        </w:rPr>
        <w:t>）金融控股公司附属机构（财务公司除外）接受金融控股公司的股权作为质押标的；</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w:t>
      </w:r>
      <w:r w:rsidRPr="00BC07D5">
        <w:rPr>
          <w:rFonts w:ascii="仿宋" w:eastAsia="仿宋" w:hAnsi="仿宋" w:cs="Times New Roman" w:hint="eastAsia"/>
          <w:color w:val="000000"/>
          <w:sz w:val="32"/>
          <w:szCs w:val="32"/>
        </w:rPr>
        <w:t>八</w:t>
      </w:r>
      <w:r w:rsidRPr="00BC07D5">
        <w:rPr>
          <w:rFonts w:ascii="仿宋" w:eastAsia="仿宋" w:hAnsi="仿宋" w:cs="Times New Roman"/>
          <w:color w:val="000000"/>
          <w:sz w:val="32"/>
          <w:szCs w:val="32"/>
        </w:rPr>
        <w:t>）金融控股公司对金融</w:t>
      </w:r>
      <w:r w:rsidRPr="00BC07D5">
        <w:rPr>
          <w:rFonts w:ascii="仿宋" w:eastAsia="仿宋" w:hAnsi="仿宋" w:cs="Times New Roman" w:hint="eastAsia"/>
          <w:color w:val="000000"/>
          <w:sz w:val="32"/>
          <w:szCs w:val="32"/>
        </w:rPr>
        <w:t>控股</w:t>
      </w:r>
      <w:r w:rsidRPr="00BC07D5">
        <w:rPr>
          <w:rFonts w:ascii="仿宋" w:eastAsia="仿宋" w:hAnsi="仿宋" w:cs="Times New Roman"/>
          <w:color w:val="000000"/>
          <w:sz w:val="32"/>
          <w:szCs w:val="32"/>
        </w:rPr>
        <w:t>集团外的担保余额超过金融控股公司净资产的</w:t>
      </w:r>
      <w:r w:rsidRPr="00BC07D5">
        <w:rPr>
          <w:rFonts w:ascii="仿宋" w:eastAsia="仿宋" w:hAnsi="仿宋" w:cs="Times New Roman"/>
          <w:color w:val="000000"/>
          <w:sz w:val="32"/>
          <w:szCs w:val="32"/>
        </w:rPr>
        <w:t>10%</w:t>
      </w:r>
      <w:r w:rsidRPr="00BC07D5">
        <w:rPr>
          <w:rFonts w:ascii="仿宋" w:eastAsia="仿宋" w:hAnsi="仿宋" w:cs="Times New Roman"/>
          <w:color w:val="000000"/>
          <w:sz w:val="32"/>
          <w:szCs w:val="32"/>
        </w:rPr>
        <w:t>；</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w:t>
      </w:r>
      <w:r w:rsidRPr="00BC07D5">
        <w:rPr>
          <w:rFonts w:ascii="仿宋" w:eastAsia="仿宋" w:hAnsi="仿宋" w:cs="Times New Roman" w:hint="eastAsia"/>
          <w:color w:val="000000"/>
          <w:sz w:val="32"/>
          <w:szCs w:val="32"/>
        </w:rPr>
        <w:t>九</w:t>
      </w:r>
      <w:r w:rsidRPr="00BC07D5">
        <w:rPr>
          <w:rFonts w:ascii="仿宋" w:eastAsia="仿宋" w:hAnsi="仿宋" w:cs="Times New Roman"/>
          <w:color w:val="000000"/>
          <w:sz w:val="32"/>
          <w:szCs w:val="32"/>
        </w:rPr>
        <w:t>）通过互联网数据服务、金融信息服务等交易规避</w:t>
      </w:r>
      <w:r w:rsidRPr="00BC07D5">
        <w:rPr>
          <w:rFonts w:ascii="仿宋" w:eastAsia="仿宋" w:hAnsi="仿宋" w:cs="Times New Roman" w:hint="eastAsia"/>
          <w:color w:val="000000"/>
          <w:sz w:val="32"/>
          <w:szCs w:val="32"/>
        </w:rPr>
        <w:t>有关规定</w:t>
      </w:r>
      <w:r w:rsidRPr="00BC07D5">
        <w:rPr>
          <w:rFonts w:ascii="仿宋" w:eastAsia="仿宋" w:hAnsi="仿宋" w:cs="Times New Roman"/>
          <w:color w:val="000000"/>
          <w:sz w:val="32"/>
          <w:szCs w:val="32"/>
        </w:rPr>
        <w:t>，或利用规则、数据、算法等</w:t>
      </w:r>
      <w:r w:rsidRPr="00BC07D5">
        <w:rPr>
          <w:rFonts w:ascii="仿宋" w:eastAsia="仿宋" w:hAnsi="仿宋" w:cs="Times New Roman" w:hint="eastAsia"/>
          <w:color w:val="000000"/>
          <w:sz w:val="32"/>
          <w:szCs w:val="32"/>
        </w:rPr>
        <w:t>各种</w:t>
      </w:r>
      <w:r w:rsidRPr="00BC07D5">
        <w:rPr>
          <w:rFonts w:ascii="仿宋" w:eastAsia="仿宋" w:hAnsi="仿宋" w:cs="Times New Roman"/>
          <w:color w:val="000000"/>
          <w:sz w:val="32"/>
          <w:szCs w:val="32"/>
        </w:rPr>
        <w:t>手段实施价格控制、利益输送或不当转移风险</w:t>
      </w:r>
      <w:r w:rsidRPr="00BC07D5">
        <w:rPr>
          <w:rFonts w:ascii="仿宋" w:eastAsia="仿宋" w:hAnsi="仿宋" w:cs="Times New Roman" w:hint="eastAsia"/>
          <w:color w:val="000000"/>
          <w:sz w:val="32"/>
          <w:szCs w:val="32"/>
        </w:rPr>
        <w:t>；</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（十）金</w:t>
      </w:r>
      <w:r w:rsidRPr="00BC07D5">
        <w:rPr>
          <w:rFonts w:ascii="仿宋" w:eastAsia="仿宋" w:hAnsi="仿宋" w:cs="Times New Roman" w:hint="eastAsia"/>
          <w:color w:val="000000"/>
          <w:sz w:val="32"/>
          <w:szCs w:val="32"/>
        </w:rPr>
        <w:t>融控股公司及其附属机构以不正当竞争的方式向关联方提供服务。</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第二十</w:t>
      </w:r>
      <w:r w:rsidRPr="00BC07D5">
        <w:rPr>
          <w:rFonts w:ascii="仿宋" w:eastAsia="仿宋" w:hAnsi="仿宋" w:cs="Times New Roman" w:hint="eastAsia"/>
          <w:color w:val="000000"/>
          <w:sz w:val="32"/>
          <w:szCs w:val="32"/>
        </w:rPr>
        <w:t>四</w:t>
      </w:r>
      <w:r w:rsidRPr="00BC07D5">
        <w:rPr>
          <w:rFonts w:ascii="仿宋" w:eastAsia="仿宋" w:hAnsi="仿宋" w:cs="Times New Roman"/>
          <w:color w:val="000000"/>
          <w:sz w:val="32"/>
          <w:szCs w:val="32"/>
        </w:rPr>
        <w:t>条【</w:t>
      </w:r>
      <w:r w:rsidRPr="00BC07D5">
        <w:rPr>
          <w:rFonts w:ascii="仿宋" w:eastAsia="仿宋" w:hAnsi="仿宋" w:cs="Times New Roman" w:hint="eastAsia"/>
          <w:color w:val="000000"/>
          <w:sz w:val="32"/>
          <w:szCs w:val="32"/>
        </w:rPr>
        <w:t>关联交易</w:t>
      </w:r>
      <w:r w:rsidRPr="00BC07D5">
        <w:rPr>
          <w:rFonts w:ascii="仿宋" w:eastAsia="仿宋" w:hAnsi="仿宋" w:cs="Times New Roman"/>
          <w:color w:val="000000"/>
          <w:sz w:val="32"/>
          <w:szCs w:val="32"/>
        </w:rPr>
        <w:t>审计】金融控股公司每年至少</w:t>
      </w:r>
      <w:r w:rsidRPr="00BC07D5">
        <w:rPr>
          <w:rFonts w:ascii="仿宋" w:eastAsia="仿宋" w:hAnsi="仿宋" w:cs="Times New Roman" w:hint="eastAsia"/>
          <w:color w:val="000000"/>
          <w:sz w:val="32"/>
          <w:szCs w:val="32"/>
        </w:rPr>
        <w:t>对整个集团的关联交易进行一次专项审计，</w:t>
      </w:r>
      <w:r w:rsidRPr="00BC07D5">
        <w:rPr>
          <w:rFonts w:ascii="仿宋" w:eastAsia="仿宋" w:hAnsi="仿宋" w:cs="Times New Roman"/>
          <w:color w:val="000000"/>
          <w:sz w:val="32"/>
          <w:szCs w:val="32"/>
        </w:rPr>
        <w:t>并将审计结果报董事会和监事会。金融控股公司不得聘用关联方控制的会计师</w:t>
      </w:r>
      <w:r w:rsidRPr="00BC07D5">
        <w:rPr>
          <w:rFonts w:ascii="仿宋" w:eastAsia="仿宋" w:hAnsi="仿宋" w:cs="Times New Roman"/>
          <w:color w:val="000000"/>
          <w:sz w:val="32"/>
          <w:szCs w:val="32"/>
        </w:rPr>
        <w:lastRenderedPageBreak/>
        <w:t>事务所</w:t>
      </w:r>
      <w:r w:rsidRPr="00BC07D5">
        <w:rPr>
          <w:rFonts w:ascii="仿宋" w:eastAsia="仿宋" w:hAnsi="仿宋" w:cs="Times New Roman" w:hint="eastAsia"/>
          <w:color w:val="000000"/>
          <w:sz w:val="32"/>
          <w:szCs w:val="32"/>
        </w:rPr>
        <w:t>、专业评估机构、律师事务所</w:t>
      </w:r>
      <w:r w:rsidRPr="00BC07D5">
        <w:rPr>
          <w:rFonts w:ascii="仿宋" w:eastAsia="仿宋" w:hAnsi="仿宋" w:cs="Times New Roman"/>
          <w:color w:val="000000"/>
          <w:sz w:val="32"/>
          <w:szCs w:val="32"/>
        </w:rPr>
        <w:t>为其</w:t>
      </w:r>
      <w:r w:rsidRPr="00BC07D5">
        <w:rPr>
          <w:rFonts w:ascii="仿宋" w:eastAsia="仿宋" w:hAnsi="仿宋" w:cs="Times New Roman" w:hint="eastAsia"/>
          <w:color w:val="000000"/>
          <w:sz w:val="32"/>
          <w:szCs w:val="32"/>
        </w:rPr>
        <w:t>提供</w:t>
      </w:r>
      <w:r w:rsidRPr="00BC07D5">
        <w:rPr>
          <w:rFonts w:ascii="仿宋" w:eastAsia="仿宋" w:hAnsi="仿宋" w:cs="Times New Roman"/>
          <w:color w:val="000000"/>
          <w:sz w:val="32"/>
          <w:szCs w:val="32"/>
        </w:rPr>
        <w:t>审计</w:t>
      </w:r>
      <w:r w:rsidRPr="00BC07D5">
        <w:rPr>
          <w:rFonts w:ascii="仿宋" w:eastAsia="仿宋" w:hAnsi="仿宋" w:cs="Times New Roman" w:hint="eastAsia"/>
          <w:color w:val="000000"/>
          <w:sz w:val="32"/>
          <w:szCs w:val="32"/>
        </w:rPr>
        <w:t>、评估等服务</w:t>
      </w:r>
      <w:r w:rsidRPr="00BC07D5">
        <w:rPr>
          <w:rFonts w:ascii="仿宋" w:eastAsia="仿宋" w:hAnsi="仿宋" w:cs="Times New Roman"/>
          <w:color w:val="000000"/>
          <w:sz w:val="32"/>
          <w:szCs w:val="32"/>
        </w:rPr>
        <w:t>。</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二十五条【内部问责】对于未按规定报告关联方、集团内部交易和集团对外关联交易，以及违规开展关联交易等情形，金融控股公司应当按照内部问责制度对相关人员进行问责，并将问责情况报关联交易管理委员会。</w:t>
      </w:r>
    </w:p>
    <w:p w:rsidR="00093110" w:rsidRPr="00BC07D5" w:rsidRDefault="00093110">
      <w:pPr>
        <w:ind w:firstLineChars="200" w:firstLine="640"/>
        <w:rPr>
          <w:rFonts w:ascii="仿宋" w:eastAsia="仿宋" w:hAnsi="仿宋" w:cs="Times New Roman"/>
          <w:color w:val="000000"/>
          <w:sz w:val="32"/>
          <w:szCs w:val="32"/>
        </w:rPr>
      </w:pPr>
    </w:p>
    <w:p w:rsidR="00093110" w:rsidRPr="001E566B" w:rsidRDefault="00550CEA">
      <w:pPr>
        <w:ind w:firstLineChars="200" w:firstLine="643"/>
        <w:jc w:val="center"/>
        <w:rPr>
          <w:rFonts w:ascii="仿宋" w:eastAsia="仿宋" w:hAnsi="仿宋" w:cs="Times New Roman"/>
          <w:b/>
          <w:color w:val="000000"/>
          <w:sz w:val="32"/>
          <w:szCs w:val="32"/>
        </w:rPr>
      </w:pPr>
      <w:r w:rsidRPr="001E566B">
        <w:rPr>
          <w:rFonts w:ascii="仿宋" w:eastAsia="仿宋" w:hAnsi="仿宋" w:cs="Times New Roman" w:hint="eastAsia"/>
          <w:b/>
          <w:color w:val="000000"/>
          <w:sz w:val="32"/>
          <w:szCs w:val="32"/>
        </w:rPr>
        <w:t>第二节</w:t>
      </w:r>
      <w:r w:rsidRPr="001E566B">
        <w:rPr>
          <w:rFonts w:ascii="仿宋" w:eastAsia="仿宋" w:hAnsi="仿宋" w:cs="Times New Roman" w:hint="eastAsia"/>
          <w:b/>
          <w:color w:val="000000"/>
          <w:sz w:val="32"/>
          <w:szCs w:val="32"/>
        </w:rPr>
        <w:t xml:space="preserve"> </w:t>
      </w:r>
      <w:r w:rsidRPr="001E566B">
        <w:rPr>
          <w:rFonts w:ascii="仿宋" w:eastAsia="仿宋" w:hAnsi="仿宋" w:cs="Times New Roman" w:hint="eastAsia"/>
          <w:b/>
          <w:color w:val="000000"/>
          <w:sz w:val="32"/>
          <w:szCs w:val="32"/>
        </w:rPr>
        <w:t>金融控股公司本级关联交易管理</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w:t>
      </w:r>
      <w:r w:rsidRPr="00BC07D5">
        <w:rPr>
          <w:rFonts w:ascii="仿宋" w:eastAsia="仿宋" w:hAnsi="仿宋" w:cs="Times New Roman" w:hint="eastAsia"/>
          <w:color w:val="000000"/>
          <w:sz w:val="32"/>
          <w:szCs w:val="32"/>
        </w:rPr>
        <w:t>二十六</w:t>
      </w:r>
      <w:r w:rsidRPr="00BC07D5">
        <w:rPr>
          <w:rFonts w:ascii="仿宋" w:eastAsia="仿宋" w:hAnsi="仿宋" w:cs="Times New Roman"/>
          <w:color w:val="000000"/>
          <w:sz w:val="32"/>
          <w:szCs w:val="32"/>
        </w:rPr>
        <w:t>条【本级关联交易协议】金融控股公司本级的关联交易应当订立书面交易协议，按照商业合理原则，以不优于对非关联方同类交易的条件进行。关联交易协议安排应具有</w:t>
      </w:r>
      <w:bookmarkStart w:id="7" w:name="_Hlk84532726"/>
      <w:r w:rsidRPr="00BC07D5">
        <w:rPr>
          <w:rFonts w:ascii="仿宋" w:eastAsia="仿宋" w:hAnsi="仿宋" w:cs="Times New Roman"/>
          <w:color w:val="000000"/>
          <w:sz w:val="32"/>
          <w:szCs w:val="32"/>
        </w:rPr>
        <w:t>真实商业背景</w:t>
      </w:r>
      <w:bookmarkEnd w:id="7"/>
      <w:r w:rsidRPr="00BC07D5">
        <w:rPr>
          <w:rFonts w:ascii="仿宋" w:eastAsia="仿宋" w:hAnsi="仿宋" w:cs="Times New Roman"/>
          <w:color w:val="000000"/>
          <w:sz w:val="32"/>
          <w:szCs w:val="32"/>
        </w:rPr>
        <w:t>，</w:t>
      </w:r>
      <w:bookmarkStart w:id="8" w:name="_Hlk84533293"/>
      <w:r w:rsidRPr="00BC07D5">
        <w:rPr>
          <w:rFonts w:ascii="仿宋" w:eastAsia="仿宋" w:hAnsi="仿宋" w:cs="Times New Roman"/>
          <w:color w:val="000000"/>
          <w:sz w:val="32"/>
          <w:szCs w:val="32"/>
        </w:rPr>
        <w:t>结构清晰，避免多层嵌套</w:t>
      </w:r>
      <w:bookmarkEnd w:id="8"/>
      <w:r w:rsidRPr="00BC07D5">
        <w:rPr>
          <w:rFonts w:ascii="仿宋" w:eastAsia="仿宋" w:hAnsi="仿宋" w:cs="Times New Roman"/>
          <w:color w:val="000000"/>
          <w:sz w:val="32"/>
          <w:szCs w:val="32"/>
        </w:rPr>
        <w:t>。</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金融控股公司与同一关联方之间长期持续发生的、需要反复签订交易协议的关联交易，可以签订统一交易协议，协议期限一般不超过三年。统一交易协议的签订、续签、实质性变更，应按照重大关联交易进行内部审查、报告和信息披露。统一关联交易协议下发生的关联交易无需逐笔进行审查、报告和披露，但应当在季度报告中说明执行情况。统一交易协议应当</w:t>
      </w:r>
      <w:r w:rsidRPr="00BC07D5">
        <w:rPr>
          <w:rFonts w:ascii="仿宋" w:eastAsia="仿宋" w:hAnsi="仿宋" w:cs="Times New Roman" w:hint="eastAsia"/>
          <w:color w:val="000000"/>
          <w:sz w:val="32"/>
          <w:szCs w:val="32"/>
        </w:rPr>
        <w:t>明确或预估关联交易金额。</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w:t>
      </w:r>
      <w:r w:rsidRPr="00BC07D5">
        <w:rPr>
          <w:rFonts w:ascii="仿宋" w:eastAsia="仿宋" w:hAnsi="仿宋" w:cs="Times New Roman" w:hint="eastAsia"/>
          <w:color w:val="000000"/>
          <w:sz w:val="32"/>
          <w:szCs w:val="32"/>
        </w:rPr>
        <w:t>二十七</w:t>
      </w:r>
      <w:r w:rsidRPr="00BC07D5">
        <w:rPr>
          <w:rFonts w:ascii="仿宋" w:eastAsia="仿宋" w:hAnsi="仿宋" w:cs="Times New Roman"/>
          <w:color w:val="000000"/>
          <w:sz w:val="32"/>
          <w:szCs w:val="32"/>
        </w:rPr>
        <w:t>条【</w:t>
      </w:r>
      <w:r w:rsidRPr="00BC07D5">
        <w:rPr>
          <w:rFonts w:ascii="仿宋" w:eastAsia="仿宋" w:hAnsi="仿宋" w:cs="Times New Roman" w:hint="eastAsia"/>
          <w:color w:val="000000"/>
          <w:sz w:val="32"/>
          <w:szCs w:val="32"/>
        </w:rPr>
        <w:t>本级关联交易内控机制</w:t>
      </w:r>
      <w:r w:rsidRPr="00BC07D5">
        <w:rPr>
          <w:rFonts w:ascii="仿宋" w:eastAsia="仿宋" w:hAnsi="仿宋" w:cs="Times New Roman"/>
          <w:color w:val="000000"/>
          <w:sz w:val="32"/>
          <w:szCs w:val="32"/>
        </w:rPr>
        <w:t>】</w:t>
      </w:r>
      <w:r w:rsidRPr="00BC07D5">
        <w:rPr>
          <w:rFonts w:ascii="仿宋" w:eastAsia="仿宋" w:hAnsi="仿宋" w:cs="Times New Roman" w:hint="eastAsia"/>
          <w:color w:val="000000"/>
          <w:sz w:val="32"/>
          <w:szCs w:val="32"/>
        </w:rPr>
        <w:t>金融控股公司应当完善本级关联交易内控机制和管理流程，关键环节的审查意见以及关联交易管理委员会</w:t>
      </w:r>
      <w:r w:rsidRPr="00BC07D5">
        <w:rPr>
          <w:rFonts w:ascii="仿宋" w:eastAsia="仿宋" w:hAnsi="仿宋" w:cs="Times New Roman"/>
          <w:color w:val="000000"/>
          <w:sz w:val="32"/>
          <w:szCs w:val="32"/>
        </w:rPr>
        <w:t>、董事会</w:t>
      </w:r>
      <w:r w:rsidRPr="00BC07D5">
        <w:rPr>
          <w:rFonts w:ascii="仿宋" w:eastAsia="仿宋" w:hAnsi="仿宋" w:cs="Times New Roman" w:hint="eastAsia"/>
          <w:color w:val="000000"/>
          <w:sz w:val="32"/>
          <w:szCs w:val="32"/>
        </w:rPr>
        <w:t>等会议决议、记录应</w:t>
      </w:r>
      <w:r w:rsidRPr="00BC07D5">
        <w:rPr>
          <w:rFonts w:ascii="仿宋" w:eastAsia="仿宋" w:hAnsi="仿宋" w:cs="Times New Roman" w:hint="eastAsia"/>
          <w:color w:val="000000"/>
          <w:sz w:val="32"/>
          <w:szCs w:val="32"/>
        </w:rPr>
        <w:lastRenderedPageBreak/>
        <w:t>当清晰可查。</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金融控股公司本级的</w:t>
      </w:r>
      <w:r w:rsidRPr="00BC07D5">
        <w:rPr>
          <w:rFonts w:ascii="仿宋" w:eastAsia="仿宋" w:hAnsi="仿宋" w:cs="Times New Roman"/>
          <w:color w:val="000000"/>
          <w:sz w:val="32"/>
          <w:szCs w:val="32"/>
        </w:rPr>
        <w:t>一般关联交易按照金融控股公司内部管理制度和授权程序审查</w:t>
      </w:r>
      <w:r w:rsidRPr="00BC07D5">
        <w:rPr>
          <w:rFonts w:ascii="仿宋" w:eastAsia="仿宋" w:hAnsi="仿宋" w:cs="Times New Roman" w:hint="eastAsia"/>
          <w:color w:val="000000"/>
          <w:sz w:val="32"/>
          <w:szCs w:val="32"/>
        </w:rPr>
        <w:t>，报</w:t>
      </w:r>
      <w:r w:rsidRPr="00BC07D5">
        <w:rPr>
          <w:rFonts w:ascii="仿宋" w:eastAsia="仿宋" w:hAnsi="仿宋" w:cs="Times New Roman"/>
          <w:color w:val="000000"/>
          <w:sz w:val="32"/>
          <w:szCs w:val="32"/>
        </w:rPr>
        <w:t>关联交易</w:t>
      </w:r>
      <w:r w:rsidRPr="00BC07D5">
        <w:rPr>
          <w:rFonts w:ascii="仿宋" w:eastAsia="仿宋" w:hAnsi="仿宋" w:cs="Times New Roman" w:hint="eastAsia"/>
          <w:color w:val="000000"/>
          <w:sz w:val="32"/>
          <w:szCs w:val="32"/>
        </w:rPr>
        <w:t>管理</w:t>
      </w:r>
      <w:r w:rsidRPr="00BC07D5">
        <w:rPr>
          <w:rFonts w:ascii="仿宋" w:eastAsia="仿宋" w:hAnsi="仿宋" w:cs="Times New Roman"/>
          <w:color w:val="000000"/>
          <w:sz w:val="32"/>
          <w:szCs w:val="32"/>
        </w:rPr>
        <w:t>委员会备案。</w:t>
      </w:r>
      <w:r w:rsidRPr="00BC07D5">
        <w:rPr>
          <w:rFonts w:ascii="仿宋" w:eastAsia="仿宋" w:hAnsi="仿宋" w:cs="Times New Roman" w:hint="eastAsia"/>
          <w:color w:val="000000"/>
          <w:sz w:val="32"/>
          <w:szCs w:val="32"/>
        </w:rPr>
        <w:t>金融控股公司本级的重大关联交易</w:t>
      </w:r>
      <w:r w:rsidRPr="00BC07D5">
        <w:rPr>
          <w:rFonts w:ascii="仿宋" w:eastAsia="仿宋" w:hAnsi="仿宋" w:cs="Times New Roman"/>
          <w:color w:val="000000"/>
          <w:sz w:val="32"/>
          <w:szCs w:val="32"/>
        </w:rPr>
        <w:t>经由关联交易</w:t>
      </w:r>
      <w:r w:rsidRPr="00BC07D5">
        <w:rPr>
          <w:rFonts w:ascii="仿宋" w:eastAsia="仿宋" w:hAnsi="仿宋" w:cs="Times New Roman" w:hint="eastAsia"/>
          <w:color w:val="000000"/>
          <w:sz w:val="32"/>
          <w:szCs w:val="32"/>
        </w:rPr>
        <w:t>管理</w:t>
      </w:r>
      <w:r w:rsidRPr="00BC07D5">
        <w:rPr>
          <w:rFonts w:ascii="仿宋" w:eastAsia="仿宋" w:hAnsi="仿宋" w:cs="Times New Roman"/>
          <w:color w:val="000000"/>
          <w:sz w:val="32"/>
          <w:szCs w:val="32"/>
        </w:rPr>
        <w:t>委员会审查后，</w:t>
      </w:r>
      <w:r w:rsidRPr="00BC07D5">
        <w:rPr>
          <w:rFonts w:ascii="仿宋" w:eastAsia="仿宋" w:hAnsi="仿宋" w:cs="Times New Roman" w:hint="eastAsia"/>
          <w:color w:val="000000"/>
          <w:sz w:val="32"/>
          <w:szCs w:val="32"/>
        </w:rPr>
        <w:t>提交董事会批准。关联交易管理委员应重点关注本级关联交易的合规性和公允性。</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董事会会议所作决议须经非关联董事</w:t>
      </w:r>
      <w:r w:rsidRPr="00BC07D5">
        <w:rPr>
          <w:rFonts w:ascii="仿宋" w:eastAsia="仿宋" w:hAnsi="仿宋" w:cs="Times New Roman"/>
          <w:color w:val="000000"/>
          <w:sz w:val="32"/>
          <w:szCs w:val="32"/>
        </w:rPr>
        <w:t>三分之二以上通过</w:t>
      </w:r>
      <w:r w:rsidRPr="00BC07D5">
        <w:rPr>
          <w:rFonts w:ascii="仿宋" w:eastAsia="仿宋" w:hAnsi="仿宋" w:cs="Times New Roman" w:hint="eastAsia"/>
          <w:color w:val="000000"/>
          <w:sz w:val="32"/>
          <w:szCs w:val="32"/>
        </w:rPr>
        <w:t>。出席董事会的非关联董事人数不足三人的</w:t>
      </w:r>
      <w:r w:rsidRPr="00BC07D5">
        <w:rPr>
          <w:rFonts w:ascii="仿宋" w:eastAsia="仿宋" w:hAnsi="仿宋" w:cs="Times New Roman" w:hint="eastAsia"/>
          <w:color w:val="000000"/>
          <w:sz w:val="32"/>
          <w:szCs w:val="32"/>
        </w:rPr>
        <w:t>，应当提交</w:t>
      </w:r>
      <w:r w:rsidRPr="00BC07D5">
        <w:rPr>
          <w:rFonts w:ascii="仿宋" w:eastAsia="仿宋" w:hAnsi="仿宋" w:cs="Times New Roman"/>
          <w:color w:val="000000"/>
          <w:sz w:val="32"/>
          <w:szCs w:val="32"/>
        </w:rPr>
        <w:t>股东（大）会审议</w:t>
      </w:r>
      <w:r w:rsidRPr="00BC07D5">
        <w:rPr>
          <w:rFonts w:ascii="仿宋" w:eastAsia="仿宋" w:hAnsi="仿宋" w:cs="Times New Roman" w:hint="eastAsia"/>
          <w:color w:val="000000"/>
          <w:sz w:val="32"/>
          <w:szCs w:val="32"/>
        </w:rPr>
        <w:t>。金融控股公司关联交易管理委员会、董事会及股东（大）会对本级的关联交易进行表决或决策时，与该关联交易有利害关系的人员应当回避。如金融控股公司未设立股东（大）会，或者因回避原则而无法召开股东（大）会，仍由董事会审议且不适用本条关于回避的规定，但关联董事应出具不存在利益输送的声明。</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金融控股公司</w:t>
      </w:r>
      <w:r w:rsidRPr="00BC07D5">
        <w:rPr>
          <w:rFonts w:ascii="仿宋" w:eastAsia="仿宋" w:hAnsi="仿宋" w:cs="Times New Roman"/>
          <w:color w:val="000000"/>
          <w:sz w:val="32"/>
          <w:szCs w:val="32"/>
        </w:rPr>
        <w:t>独立董事应当</w:t>
      </w:r>
      <w:r w:rsidRPr="00BC07D5">
        <w:rPr>
          <w:rFonts w:ascii="仿宋" w:eastAsia="仿宋" w:hAnsi="仿宋" w:cs="Times New Roman" w:hint="eastAsia"/>
          <w:color w:val="000000"/>
          <w:sz w:val="32"/>
          <w:szCs w:val="32"/>
        </w:rPr>
        <w:t>逐笔对</w:t>
      </w:r>
      <w:r w:rsidRPr="00BC07D5">
        <w:rPr>
          <w:rFonts w:ascii="仿宋" w:eastAsia="仿宋" w:hAnsi="仿宋" w:cs="Times New Roman"/>
          <w:color w:val="000000"/>
          <w:sz w:val="32"/>
          <w:szCs w:val="32"/>
        </w:rPr>
        <w:t>重大关联交易的合规性、公允性和必要性以及</w:t>
      </w:r>
      <w:r w:rsidRPr="00BC07D5">
        <w:rPr>
          <w:rFonts w:ascii="仿宋" w:eastAsia="仿宋" w:hAnsi="仿宋" w:cs="Times New Roman" w:hint="eastAsia"/>
          <w:color w:val="000000"/>
          <w:sz w:val="32"/>
          <w:szCs w:val="32"/>
        </w:rPr>
        <w:t>内部审批程序履行情况发表书面意见。</w:t>
      </w:r>
      <w:r w:rsidRPr="00BC07D5">
        <w:rPr>
          <w:rFonts w:ascii="仿宋" w:eastAsia="仿宋" w:hAnsi="仿宋" w:cs="Times New Roman"/>
          <w:color w:val="000000"/>
          <w:sz w:val="32"/>
          <w:szCs w:val="32"/>
        </w:rPr>
        <w:t>独立董事认为有必要的，可以聘请</w:t>
      </w:r>
      <w:r w:rsidRPr="00BC07D5">
        <w:rPr>
          <w:rFonts w:ascii="仿宋" w:eastAsia="仿宋" w:hAnsi="仿宋" w:cs="Times New Roman" w:hint="eastAsia"/>
          <w:color w:val="000000"/>
          <w:sz w:val="32"/>
          <w:szCs w:val="32"/>
        </w:rPr>
        <w:t>中介机构</w:t>
      </w:r>
      <w:r w:rsidRPr="00BC07D5">
        <w:rPr>
          <w:rFonts w:ascii="仿宋" w:eastAsia="仿宋" w:hAnsi="仿宋" w:cs="Times New Roman"/>
          <w:color w:val="000000"/>
          <w:sz w:val="32"/>
          <w:szCs w:val="32"/>
        </w:rPr>
        <w:t>等独立第三方提供意见，费用由金融控股公司承担。</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第二十八条【豁免</w:t>
      </w:r>
      <w:r w:rsidRPr="00BC07D5">
        <w:rPr>
          <w:rFonts w:ascii="仿宋" w:eastAsia="仿宋" w:hAnsi="仿宋" w:cs="Times New Roman"/>
          <w:color w:val="000000"/>
          <w:sz w:val="32"/>
          <w:szCs w:val="32"/>
        </w:rPr>
        <w:t>审议情形】金融控股公司进行的下列关联交易，可以免予按照关联交易的方式进行审议和披露：</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（一）与关联自然人单笔交易额在</w:t>
      </w:r>
      <w:r w:rsidRPr="00BC07D5">
        <w:rPr>
          <w:rFonts w:ascii="仿宋" w:eastAsia="仿宋" w:hAnsi="仿宋" w:cs="Times New Roman"/>
          <w:color w:val="000000"/>
          <w:sz w:val="32"/>
          <w:szCs w:val="32"/>
        </w:rPr>
        <w:t>50</w:t>
      </w:r>
      <w:r w:rsidRPr="00BC07D5">
        <w:rPr>
          <w:rFonts w:ascii="仿宋" w:eastAsia="仿宋" w:hAnsi="仿宋" w:cs="Times New Roman"/>
          <w:color w:val="000000"/>
          <w:sz w:val="32"/>
          <w:szCs w:val="32"/>
        </w:rPr>
        <w:t>万元以下或与关联法人单笔交易额在</w:t>
      </w:r>
      <w:r w:rsidRPr="00BC07D5">
        <w:rPr>
          <w:rFonts w:ascii="仿宋" w:eastAsia="仿宋" w:hAnsi="仿宋" w:cs="Times New Roman"/>
          <w:color w:val="000000"/>
          <w:sz w:val="32"/>
          <w:szCs w:val="32"/>
        </w:rPr>
        <w:t>500</w:t>
      </w:r>
      <w:r w:rsidRPr="00BC07D5">
        <w:rPr>
          <w:rFonts w:ascii="仿宋" w:eastAsia="仿宋" w:hAnsi="仿宋" w:cs="Times New Roman"/>
          <w:color w:val="000000"/>
          <w:sz w:val="32"/>
          <w:szCs w:val="32"/>
        </w:rPr>
        <w:t>万元以下的关联交易，且交易后累</w:t>
      </w:r>
      <w:r w:rsidRPr="00BC07D5">
        <w:rPr>
          <w:rFonts w:ascii="仿宋" w:eastAsia="仿宋" w:hAnsi="仿宋" w:cs="Times New Roman"/>
          <w:color w:val="000000"/>
          <w:sz w:val="32"/>
          <w:szCs w:val="32"/>
        </w:rPr>
        <w:lastRenderedPageBreak/>
        <w:t>计未达到重大关联交易标准的；</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（二）一方以现金认购另一方公开发行的股票、公司债券或企业债券、可转换债券或其他衍生品种；</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（三）活期存款业务；</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（四）交易的定价为国家规定的。</w:t>
      </w:r>
    </w:p>
    <w:p w:rsidR="00093110" w:rsidRPr="00BC07D5" w:rsidRDefault="00093110">
      <w:pPr>
        <w:ind w:firstLineChars="200" w:firstLine="640"/>
        <w:rPr>
          <w:rFonts w:ascii="仿宋" w:eastAsia="仿宋" w:hAnsi="仿宋" w:cs="Times New Roman"/>
          <w:color w:val="000000"/>
          <w:sz w:val="32"/>
          <w:szCs w:val="32"/>
        </w:rPr>
      </w:pPr>
    </w:p>
    <w:p w:rsidR="00093110" w:rsidRPr="001E566B" w:rsidRDefault="00550CEA">
      <w:pPr>
        <w:ind w:firstLineChars="200" w:firstLine="643"/>
        <w:jc w:val="center"/>
        <w:rPr>
          <w:rFonts w:ascii="仿宋" w:eastAsia="仿宋" w:hAnsi="仿宋" w:cs="Times New Roman"/>
          <w:b/>
          <w:color w:val="000000"/>
          <w:sz w:val="32"/>
          <w:szCs w:val="32"/>
        </w:rPr>
      </w:pPr>
      <w:r w:rsidRPr="001E566B">
        <w:rPr>
          <w:rFonts w:ascii="仿宋" w:eastAsia="仿宋" w:hAnsi="仿宋" w:cs="Times New Roman" w:hint="eastAsia"/>
          <w:b/>
          <w:color w:val="000000"/>
          <w:sz w:val="32"/>
          <w:szCs w:val="32"/>
        </w:rPr>
        <w:t>第三节</w:t>
      </w:r>
      <w:r w:rsidRPr="001E566B">
        <w:rPr>
          <w:rFonts w:ascii="仿宋" w:eastAsia="仿宋" w:hAnsi="仿宋" w:cs="Times New Roman" w:hint="eastAsia"/>
          <w:b/>
          <w:color w:val="000000"/>
          <w:sz w:val="32"/>
          <w:szCs w:val="32"/>
        </w:rPr>
        <w:t xml:space="preserve"> </w:t>
      </w:r>
      <w:r w:rsidRPr="001E566B">
        <w:rPr>
          <w:rFonts w:ascii="仿宋" w:eastAsia="仿宋" w:hAnsi="仿宋" w:cs="Times New Roman" w:hint="eastAsia"/>
          <w:b/>
          <w:color w:val="000000"/>
          <w:sz w:val="32"/>
          <w:szCs w:val="32"/>
        </w:rPr>
        <w:t>附属机构关联交易管理</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w:t>
      </w:r>
      <w:r w:rsidRPr="00BC07D5">
        <w:rPr>
          <w:rFonts w:ascii="仿宋" w:eastAsia="仿宋" w:hAnsi="仿宋" w:cs="Times New Roman" w:hint="eastAsia"/>
          <w:color w:val="000000"/>
          <w:sz w:val="32"/>
          <w:szCs w:val="32"/>
        </w:rPr>
        <w:t>二</w:t>
      </w:r>
      <w:r w:rsidRPr="00BC07D5">
        <w:rPr>
          <w:rFonts w:ascii="仿宋" w:eastAsia="仿宋" w:hAnsi="仿宋" w:cs="Times New Roman" w:hint="eastAsia"/>
          <w:color w:val="000000"/>
          <w:sz w:val="32"/>
          <w:szCs w:val="32"/>
        </w:rPr>
        <w:t>十</w:t>
      </w:r>
      <w:r w:rsidRPr="00BC07D5">
        <w:rPr>
          <w:rFonts w:ascii="仿宋" w:eastAsia="仿宋" w:hAnsi="仿宋" w:cs="Times New Roman"/>
          <w:color w:val="000000"/>
          <w:sz w:val="32"/>
          <w:szCs w:val="32"/>
        </w:rPr>
        <w:t>九</w:t>
      </w:r>
      <w:r w:rsidRPr="00BC07D5">
        <w:rPr>
          <w:rFonts w:ascii="仿宋" w:eastAsia="仿宋" w:hAnsi="仿宋" w:cs="Times New Roman" w:hint="eastAsia"/>
          <w:color w:val="000000"/>
          <w:sz w:val="32"/>
          <w:szCs w:val="32"/>
        </w:rPr>
        <w:t>条</w:t>
      </w:r>
      <w:r w:rsidRPr="00BC07D5">
        <w:rPr>
          <w:rFonts w:ascii="仿宋" w:eastAsia="仿宋" w:hAnsi="仿宋" w:cs="Times New Roman" w:hint="eastAsia"/>
          <w:color w:val="000000"/>
          <w:sz w:val="32"/>
          <w:szCs w:val="32"/>
        </w:rPr>
        <w:t>【</w:t>
      </w:r>
      <w:r w:rsidRPr="00BC07D5">
        <w:rPr>
          <w:rFonts w:ascii="仿宋" w:eastAsia="仿宋" w:hAnsi="仿宋" w:cs="Times New Roman" w:hint="eastAsia"/>
          <w:color w:val="000000"/>
          <w:sz w:val="32"/>
          <w:szCs w:val="32"/>
        </w:rPr>
        <w:t>指</w:t>
      </w:r>
      <w:r w:rsidRPr="00BC07D5">
        <w:rPr>
          <w:rFonts w:ascii="仿宋" w:eastAsia="仿宋" w:hAnsi="仿宋" w:cs="Times New Roman" w:hint="eastAsia"/>
          <w:color w:val="000000"/>
          <w:sz w:val="32"/>
          <w:szCs w:val="32"/>
        </w:rPr>
        <w:t>导</w:t>
      </w:r>
      <w:r w:rsidRPr="00BC07D5">
        <w:rPr>
          <w:rFonts w:ascii="仿宋" w:eastAsia="仿宋" w:hAnsi="仿宋" w:cs="Times New Roman"/>
          <w:color w:val="000000"/>
          <w:sz w:val="32"/>
          <w:szCs w:val="32"/>
        </w:rPr>
        <w:t>督促</w:t>
      </w:r>
      <w:r w:rsidRPr="00BC07D5">
        <w:rPr>
          <w:rFonts w:ascii="仿宋" w:eastAsia="仿宋" w:hAnsi="仿宋" w:cs="Times New Roman" w:hint="eastAsia"/>
          <w:color w:val="000000"/>
          <w:sz w:val="32"/>
          <w:szCs w:val="32"/>
        </w:rPr>
        <w:t>】为统筹管理整个金融控股集团的关联交易，金融控股公司应当充分了解附属机构所在行业以及上市公司的关</w:t>
      </w:r>
      <w:r w:rsidRPr="00BC07D5">
        <w:rPr>
          <w:rFonts w:ascii="仿宋" w:eastAsia="仿宋" w:hAnsi="仿宋" w:cs="Times New Roman" w:hint="eastAsia"/>
          <w:color w:val="000000"/>
          <w:sz w:val="32"/>
          <w:szCs w:val="32"/>
        </w:rPr>
        <w:t>联交易管理要求，协助和督促附属机构满足有关规定。金融控股公司应当指导和</w:t>
      </w:r>
      <w:r w:rsidRPr="00BC07D5">
        <w:rPr>
          <w:rFonts w:ascii="仿宋" w:eastAsia="仿宋" w:hAnsi="仿宋" w:cs="Times New Roman"/>
          <w:color w:val="000000"/>
          <w:sz w:val="32"/>
          <w:szCs w:val="32"/>
        </w:rPr>
        <w:t>督促</w:t>
      </w:r>
      <w:r w:rsidRPr="00BC07D5">
        <w:rPr>
          <w:rFonts w:ascii="仿宋" w:eastAsia="仿宋" w:hAnsi="仿宋" w:cs="Times New Roman" w:hint="eastAsia"/>
          <w:color w:val="000000"/>
          <w:sz w:val="32"/>
          <w:szCs w:val="32"/>
        </w:rPr>
        <w:t>未上市且未受行业监管的附属机构，参照业务类似的金融机构或上市公司建立有效的关联交易管理体系。</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金融控股公司应当维护附属机构尤其是上市公司和受监管实体的独立运作，通过公司治理程序参与附属机构关联交易管理</w:t>
      </w:r>
      <w:r w:rsidRPr="00BC07D5">
        <w:rPr>
          <w:rFonts w:ascii="仿宋" w:eastAsia="仿宋" w:hAnsi="仿宋" w:cs="Times New Roman" w:hint="eastAsia"/>
          <w:color w:val="000000"/>
          <w:sz w:val="32"/>
          <w:szCs w:val="32"/>
        </w:rPr>
        <w:t>。</w:t>
      </w:r>
      <w:r w:rsidRPr="00BC07D5">
        <w:rPr>
          <w:rFonts w:ascii="仿宋" w:eastAsia="仿宋" w:hAnsi="仿宋" w:cs="Times New Roman"/>
          <w:color w:val="000000"/>
          <w:sz w:val="32"/>
          <w:szCs w:val="32"/>
        </w:rPr>
        <w:t>金融控股公司应当要求</w:t>
      </w:r>
      <w:r w:rsidRPr="00BC07D5">
        <w:rPr>
          <w:rFonts w:ascii="仿宋" w:eastAsia="仿宋" w:hAnsi="仿宋" w:cs="Times New Roman" w:hint="eastAsia"/>
          <w:color w:val="000000"/>
          <w:sz w:val="32"/>
          <w:szCs w:val="32"/>
        </w:rPr>
        <w:t>附属机构指定或设置专门的组织</w:t>
      </w:r>
      <w:r w:rsidRPr="00BC07D5">
        <w:rPr>
          <w:rFonts w:ascii="仿宋" w:eastAsia="仿宋" w:hAnsi="仿宋" w:cs="Times New Roman"/>
          <w:color w:val="000000"/>
          <w:sz w:val="32"/>
          <w:szCs w:val="32"/>
        </w:rPr>
        <w:t>，</w:t>
      </w:r>
      <w:r w:rsidRPr="00BC07D5">
        <w:rPr>
          <w:rFonts w:ascii="仿宋" w:eastAsia="仿宋" w:hAnsi="仿宋" w:cs="Times New Roman" w:hint="eastAsia"/>
          <w:color w:val="000000"/>
          <w:sz w:val="32"/>
          <w:szCs w:val="32"/>
        </w:rPr>
        <w:t>履行该机构关联交易内部控制和管理职责</w:t>
      </w:r>
      <w:r w:rsidRPr="00BC07D5">
        <w:rPr>
          <w:rFonts w:ascii="仿宋" w:eastAsia="仿宋" w:hAnsi="仿宋" w:cs="Times New Roman"/>
          <w:color w:val="000000"/>
          <w:sz w:val="32"/>
          <w:szCs w:val="32"/>
        </w:rPr>
        <w:t>，并承担相应的责任</w:t>
      </w:r>
      <w:r w:rsidRPr="00BC07D5">
        <w:rPr>
          <w:rFonts w:ascii="仿宋" w:eastAsia="仿宋" w:hAnsi="仿宋" w:cs="Times New Roman" w:hint="eastAsia"/>
          <w:color w:val="000000"/>
          <w:sz w:val="32"/>
          <w:szCs w:val="32"/>
        </w:rPr>
        <w:t>。</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w:t>
      </w:r>
      <w:r w:rsidRPr="00BC07D5">
        <w:rPr>
          <w:rFonts w:ascii="仿宋" w:eastAsia="仿宋" w:hAnsi="仿宋" w:cs="Times New Roman"/>
          <w:color w:val="000000"/>
          <w:sz w:val="32"/>
          <w:szCs w:val="32"/>
        </w:rPr>
        <w:t>三十</w:t>
      </w:r>
      <w:r w:rsidRPr="00BC07D5">
        <w:rPr>
          <w:rFonts w:ascii="仿宋" w:eastAsia="仿宋" w:hAnsi="仿宋" w:cs="Times New Roman" w:hint="eastAsia"/>
          <w:color w:val="000000"/>
          <w:sz w:val="32"/>
          <w:szCs w:val="32"/>
        </w:rPr>
        <w:t>条【监测预警】金融控股公司应当及时收集附属机构的关联方、重大关联交易、季度关联交易情况等信息，按照交易金额、交易频率、交易时间等因素对附属机构以及附属机构关联方的重要性进行排序，按季对附属机构关联交</w:t>
      </w:r>
      <w:r w:rsidRPr="00BC07D5">
        <w:rPr>
          <w:rFonts w:ascii="仿宋" w:eastAsia="仿宋" w:hAnsi="仿宋" w:cs="Times New Roman" w:hint="eastAsia"/>
          <w:color w:val="000000"/>
          <w:sz w:val="32"/>
          <w:szCs w:val="32"/>
        </w:rPr>
        <w:lastRenderedPageBreak/>
        <w:t>易及其风险敞口进行汇总分析和监测预警，每年对附属机构关联交易管理情况进行评估检查，形成综合评价报告并提交董事会批准。附属机构应当积极配合金融控股公司开展关联交易管理，并向其提供所需的相关信息。</w:t>
      </w:r>
    </w:p>
    <w:p w:rsidR="00093110" w:rsidRPr="00BC07D5" w:rsidRDefault="00093110">
      <w:pPr>
        <w:ind w:firstLineChars="200" w:firstLine="640"/>
        <w:rPr>
          <w:rFonts w:ascii="仿宋" w:eastAsia="仿宋" w:hAnsi="仿宋" w:cs="Times New Roman"/>
          <w:color w:val="000000"/>
          <w:sz w:val="32"/>
          <w:szCs w:val="32"/>
        </w:rPr>
      </w:pPr>
    </w:p>
    <w:p w:rsidR="00093110" w:rsidRPr="001E566B" w:rsidRDefault="00550CEA">
      <w:pPr>
        <w:ind w:firstLineChars="200" w:firstLine="643"/>
        <w:jc w:val="center"/>
        <w:rPr>
          <w:rFonts w:ascii="仿宋" w:eastAsia="仿宋" w:hAnsi="仿宋" w:cs="Times New Roman"/>
          <w:b/>
          <w:color w:val="000000"/>
          <w:sz w:val="32"/>
          <w:szCs w:val="32"/>
        </w:rPr>
      </w:pPr>
      <w:r w:rsidRPr="001E566B">
        <w:rPr>
          <w:rFonts w:ascii="仿宋" w:eastAsia="仿宋" w:hAnsi="仿宋" w:cs="Times New Roman" w:hint="eastAsia"/>
          <w:b/>
          <w:color w:val="000000"/>
          <w:sz w:val="32"/>
          <w:szCs w:val="32"/>
        </w:rPr>
        <w:t>第四节</w:t>
      </w:r>
      <w:r w:rsidRPr="001E566B">
        <w:rPr>
          <w:rFonts w:ascii="仿宋" w:eastAsia="仿宋" w:hAnsi="仿宋" w:cs="Times New Roman" w:hint="eastAsia"/>
          <w:b/>
          <w:color w:val="000000"/>
          <w:sz w:val="32"/>
          <w:szCs w:val="32"/>
        </w:rPr>
        <w:t xml:space="preserve"> </w:t>
      </w:r>
      <w:r w:rsidRPr="001E566B">
        <w:rPr>
          <w:rFonts w:ascii="仿宋" w:eastAsia="仿宋" w:hAnsi="仿宋" w:cs="Times New Roman" w:hint="eastAsia"/>
          <w:b/>
          <w:color w:val="000000"/>
          <w:sz w:val="32"/>
          <w:szCs w:val="32"/>
        </w:rPr>
        <w:t>集团内部交易管理</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第三十</w:t>
      </w:r>
      <w:r w:rsidRPr="00BC07D5">
        <w:rPr>
          <w:rFonts w:ascii="仿宋" w:eastAsia="仿宋" w:hAnsi="仿宋" w:cs="Times New Roman"/>
          <w:color w:val="000000"/>
          <w:sz w:val="32"/>
          <w:szCs w:val="32"/>
        </w:rPr>
        <w:t>一</w:t>
      </w:r>
      <w:r w:rsidRPr="00BC07D5">
        <w:rPr>
          <w:rFonts w:ascii="仿宋" w:eastAsia="仿宋" w:hAnsi="仿宋" w:cs="Times New Roman" w:hint="eastAsia"/>
          <w:color w:val="000000"/>
          <w:sz w:val="32"/>
          <w:szCs w:val="32"/>
        </w:rPr>
        <w:t>条【总体要求】金融控股公司应当统筹管理集团内部交易，及时对集团内部交易及其风险敞口</w:t>
      </w:r>
      <w:r w:rsidRPr="00BC07D5">
        <w:rPr>
          <w:rFonts w:ascii="仿宋" w:eastAsia="仿宋" w:hAnsi="仿宋" w:cs="Times New Roman" w:hint="eastAsia"/>
          <w:color w:val="000000"/>
          <w:sz w:val="32"/>
          <w:szCs w:val="32"/>
        </w:rPr>
        <w:t>进行收集汇总、监测分析和评估预警，重点关注集团内部交易的合理性和公允性，提高集团内部交易的透明度，及时充分、结构清晰地披露集团内部交易的定性与定量信息，有效促进利益相关方对集团业务运作和风险状况的分析与评估。</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第三十</w:t>
      </w:r>
      <w:r w:rsidRPr="00BC07D5">
        <w:rPr>
          <w:rFonts w:ascii="仿宋" w:eastAsia="仿宋" w:hAnsi="仿宋" w:cs="Times New Roman"/>
          <w:color w:val="000000"/>
          <w:sz w:val="32"/>
          <w:szCs w:val="32"/>
        </w:rPr>
        <w:t>二</w:t>
      </w:r>
      <w:r w:rsidRPr="00BC07D5">
        <w:rPr>
          <w:rFonts w:ascii="仿宋" w:eastAsia="仿宋" w:hAnsi="仿宋" w:cs="Times New Roman" w:hint="eastAsia"/>
          <w:color w:val="000000"/>
          <w:sz w:val="32"/>
          <w:szCs w:val="32"/>
        </w:rPr>
        <w:t>条【集团内部交易评估】金融控股公司每季度应当对集团内部交易进行分析评估，包括但不限于：</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（一）集团内部交易的总体情况、重点机构和集中程度等；</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（二）交易背景的真实性和必要性，是否存在虚构交易问题；</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（三）是否存在转移收入或</w:t>
      </w:r>
      <w:r w:rsidRPr="00BC07D5">
        <w:rPr>
          <w:rFonts w:ascii="仿宋" w:eastAsia="仿宋" w:hAnsi="仿宋" w:cs="Times New Roman"/>
          <w:color w:val="000000"/>
          <w:sz w:val="32"/>
          <w:szCs w:val="32"/>
        </w:rPr>
        <w:t>隐藏</w:t>
      </w:r>
      <w:r w:rsidRPr="00BC07D5">
        <w:rPr>
          <w:rFonts w:ascii="仿宋" w:eastAsia="仿宋" w:hAnsi="仿宋" w:cs="Times New Roman" w:hint="eastAsia"/>
          <w:color w:val="000000"/>
          <w:sz w:val="32"/>
          <w:szCs w:val="32"/>
        </w:rPr>
        <w:t>风险，以及是否存在监管套利问题；</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（四）金融控股公司和附属机构之间以</w:t>
      </w:r>
      <w:r w:rsidRPr="00BC07D5">
        <w:rPr>
          <w:rFonts w:ascii="仿宋" w:eastAsia="仿宋" w:hAnsi="仿宋" w:cs="Times New Roman" w:hint="eastAsia"/>
          <w:color w:val="000000"/>
          <w:sz w:val="32"/>
          <w:szCs w:val="32"/>
        </w:rPr>
        <w:t>及不同附属机构之间的交易依赖关系，以及各家附属机构经营的独立性；</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lastRenderedPageBreak/>
        <w:t>（五）集团内部交易可能产生的风险传染以及对集团和相应附属机构经营稳健性的影响；</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（六）有助于理解金融控股集团业务运作和风险状况的其他信息。</w:t>
      </w:r>
    </w:p>
    <w:p w:rsidR="00093110" w:rsidRPr="00BC07D5" w:rsidRDefault="00093110">
      <w:pPr>
        <w:ind w:firstLineChars="200" w:firstLine="640"/>
        <w:rPr>
          <w:rFonts w:ascii="仿宋" w:eastAsia="仿宋" w:hAnsi="仿宋" w:cs="Times New Roman"/>
          <w:color w:val="000000"/>
          <w:sz w:val="32"/>
          <w:szCs w:val="32"/>
        </w:rPr>
      </w:pPr>
    </w:p>
    <w:p w:rsidR="00093110" w:rsidRPr="001E566B" w:rsidRDefault="00550CEA">
      <w:pPr>
        <w:ind w:firstLineChars="200" w:firstLine="643"/>
        <w:jc w:val="center"/>
        <w:rPr>
          <w:rFonts w:ascii="仿宋" w:eastAsia="仿宋" w:hAnsi="仿宋" w:cs="Times New Roman"/>
          <w:b/>
          <w:color w:val="000000"/>
          <w:sz w:val="32"/>
          <w:szCs w:val="32"/>
        </w:rPr>
      </w:pPr>
      <w:r w:rsidRPr="001E566B">
        <w:rPr>
          <w:rFonts w:ascii="仿宋" w:eastAsia="仿宋" w:hAnsi="仿宋" w:cs="Times New Roman" w:hint="eastAsia"/>
          <w:b/>
          <w:color w:val="000000"/>
          <w:sz w:val="32"/>
          <w:szCs w:val="32"/>
        </w:rPr>
        <w:t>第五节</w:t>
      </w:r>
      <w:r w:rsidRPr="001E566B">
        <w:rPr>
          <w:rFonts w:ascii="仿宋" w:eastAsia="仿宋" w:hAnsi="仿宋" w:cs="Times New Roman" w:hint="eastAsia"/>
          <w:b/>
          <w:color w:val="000000"/>
          <w:sz w:val="32"/>
          <w:szCs w:val="32"/>
        </w:rPr>
        <w:t xml:space="preserve"> </w:t>
      </w:r>
      <w:r w:rsidRPr="001E566B">
        <w:rPr>
          <w:rFonts w:ascii="仿宋" w:eastAsia="仿宋" w:hAnsi="仿宋" w:cs="Times New Roman" w:hint="eastAsia"/>
          <w:b/>
          <w:color w:val="000000"/>
          <w:sz w:val="32"/>
          <w:szCs w:val="32"/>
        </w:rPr>
        <w:t>集团对外关联交易管理</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第三十</w:t>
      </w:r>
      <w:r w:rsidRPr="00BC07D5">
        <w:rPr>
          <w:rFonts w:ascii="仿宋" w:eastAsia="仿宋" w:hAnsi="仿宋" w:cs="Times New Roman"/>
          <w:color w:val="000000"/>
          <w:sz w:val="32"/>
          <w:szCs w:val="32"/>
        </w:rPr>
        <w:t>三</w:t>
      </w:r>
      <w:r w:rsidRPr="00BC07D5">
        <w:rPr>
          <w:rFonts w:ascii="仿宋" w:eastAsia="仿宋" w:hAnsi="仿宋" w:cs="Times New Roman" w:hint="eastAsia"/>
          <w:color w:val="000000"/>
          <w:sz w:val="32"/>
          <w:szCs w:val="32"/>
        </w:rPr>
        <w:t>条【总体要求】金融控股公司应当统筹管理集团对外关联交易，及时对集团对外关联交易及其风险敞口进行收集汇总、监测分析和评估预警，重点关注集团对外关联交易的合规性和公允性，提高集团对外关联交易的透明度，及时充分、结构清晰地披露集团对外关联交易的定性与定量信息。</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第三十</w:t>
      </w:r>
      <w:r w:rsidRPr="00BC07D5">
        <w:rPr>
          <w:rFonts w:ascii="仿宋" w:eastAsia="仿宋" w:hAnsi="仿宋" w:cs="Times New Roman"/>
          <w:color w:val="000000"/>
          <w:sz w:val="32"/>
          <w:szCs w:val="32"/>
        </w:rPr>
        <w:t>四</w:t>
      </w:r>
      <w:r w:rsidRPr="00BC07D5">
        <w:rPr>
          <w:rFonts w:ascii="仿宋" w:eastAsia="仿宋" w:hAnsi="仿宋" w:cs="Times New Roman" w:hint="eastAsia"/>
          <w:color w:val="000000"/>
          <w:sz w:val="32"/>
          <w:szCs w:val="32"/>
        </w:rPr>
        <w:t>条【关注重点】金融控股公司应当重点防范金融控股公司及其附属机构向金融控股公司的控股股东、实际控制人及其关联方进行利益输送的风险。</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金融控股公司应当加强对金融控股公司及其附属机构与金融控股公司所属企业集团内其他机构之间关联交易的监测分析和风险管理，防止金融风险和实业风险之间的交叉传染。</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第三十</w:t>
      </w:r>
      <w:r w:rsidRPr="00BC07D5">
        <w:rPr>
          <w:rFonts w:ascii="仿宋" w:eastAsia="仿宋" w:hAnsi="仿宋" w:cs="Times New Roman"/>
          <w:color w:val="000000"/>
          <w:sz w:val="32"/>
          <w:szCs w:val="32"/>
        </w:rPr>
        <w:t>五</w:t>
      </w:r>
      <w:r w:rsidRPr="00BC07D5">
        <w:rPr>
          <w:rFonts w:ascii="仿宋" w:eastAsia="仿宋" w:hAnsi="仿宋" w:cs="Times New Roman" w:hint="eastAsia"/>
          <w:color w:val="000000"/>
          <w:sz w:val="32"/>
          <w:szCs w:val="32"/>
        </w:rPr>
        <w:t>条【集团对外关联交易评估】金融控股公司每季度</w:t>
      </w:r>
      <w:r w:rsidRPr="00BC07D5">
        <w:rPr>
          <w:rFonts w:ascii="仿宋" w:eastAsia="仿宋" w:hAnsi="仿宋" w:cs="Times New Roman"/>
          <w:color w:val="000000"/>
          <w:sz w:val="32"/>
          <w:szCs w:val="32"/>
        </w:rPr>
        <w:t>应当</w:t>
      </w:r>
      <w:r w:rsidRPr="00BC07D5">
        <w:rPr>
          <w:rFonts w:ascii="仿宋" w:eastAsia="仿宋" w:hAnsi="仿宋" w:cs="Times New Roman" w:hint="eastAsia"/>
          <w:color w:val="000000"/>
          <w:sz w:val="32"/>
          <w:szCs w:val="32"/>
        </w:rPr>
        <w:t>对集团对外关联交易进行分析评估，包括但不限于：</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（一）集团对外关联交易的总体情况、重点机构和集中</w:t>
      </w:r>
      <w:r w:rsidRPr="00BC07D5">
        <w:rPr>
          <w:rFonts w:ascii="仿宋" w:eastAsia="仿宋" w:hAnsi="仿宋" w:cs="Times New Roman" w:hint="eastAsia"/>
          <w:color w:val="000000"/>
          <w:sz w:val="32"/>
          <w:szCs w:val="32"/>
        </w:rPr>
        <w:lastRenderedPageBreak/>
        <w:t>程度等；</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（二）</w:t>
      </w:r>
      <w:r w:rsidRPr="00BC07D5">
        <w:rPr>
          <w:rFonts w:ascii="仿宋" w:eastAsia="仿宋" w:hAnsi="仿宋" w:cs="Times New Roman"/>
          <w:color w:val="000000"/>
          <w:sz w:val="32"/>
          <w:szCs w:val="32"/>
        </w:rPr>
        <w:t>交易架构、交易目的、交易条件或对价、定价政策与依据等要素；</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（三）是否存在内部人控制、大股东控制以及不当利益输送等问题；</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（四）集团对外关联交易可能产生的风险集中、风险传染和风险外溢；</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（五）有助于理解金融控股集团业务运作和风险状况的其他信息。</w:t>
      </w:r>
    </w:p>
    <w:p w:rsidR="00093110" w:rsidRPr="00BC07D5" w:rsidRDefault="00093110">
      <w:pPr>
        <w:jc w:val="center"/>
        <w:rPr>
          <w:rFonts w:ascii="仿宋" w:eastAsia="仿宋" w:hAnsi="仿宋" w:cs="Times New Roman"/>
          <w:color w:val="000000"/>
          <w:sz w:val="32"/>
          <w:szCs w:val="32"/>
        </w:rPr>
      </w:pPr>
    </w:p>
    <w:p w:rsidR="00093110" w:rsidRPr="001E566B" w:rsidRDefault="00550CEA">
      <w:pPr>
        <w:jc w:val="center"/>
        <w:rPr>
          <w:rFonts w:ascii="仿宋" w:eastAsia="仿宋" w:hAnsi="仿宋" w:cs="Times New Roman"/>
          <w:b/>
          <w:color w:val="000000"/>
          <w:sz w:val="32"/>
          <w:szCs w:val="32"/>
        </w:rPr>
      </w:pPr>
      <w:r w:rsidRPr="001E566B">
        <w:rPr>
          <w:rFonts w:ascii="仿宋" w:eastAsia="仿宋" w:hAnsi="仿宋" w:cs="Times New Roman"/>
          <w:b/>
          <w:color w:val="000000"/>
          <w:sz w:val="32"/>
          <w:szCs w:val="32"/>
        </w:rPr>
        <w:t>第</w:t>
      </w:r>
      <w:r w:rsidRPr="001E566B">
        <w:rPr>
          <w:rFonts w:ascii="仿宋" w:eastAsia="仿宋" w:hAnsi="仿宋" w:cs="Times New Roman" w:hint="eastAsia"/>
          <w:b/>
          <w:color w:val="000000"/>
          <w:sz w:val="32"/>
          <w:szCs w:val="32"/>
        </w:rPr>
        <w:t>五</w:t>
      </w:r>
      <w:r w:rsidRPr="001E566B">
        <w:rPr>
          <w:rFonts w:ascii="仿宋" w:eastAsia="仿宋" w:hAnsi="仿宋" w:cs="Times New Roman"/>
          <w:b/>
          <w:color w:val="000000"/>
          <w:sz w:val="32"/>
          <w:szCs w:val="32"/>
        </w:rPr>
        <w:t>章</w:t>
      </w:r>
      <w:r w:rsidRPr="001E566B">
        <w:rPr>
          <w:rFonts w:ascii="仿宋" w:eastAsia="仿宋" w:hAnsi="仿宋" w:cs="Times New Roman" w:hint="eastAsia"/>
          <w:b/>
          <w:color w:val="000000"/>
          <w:sz w:val="32"/>
          <w:szCs w:val="32"/>
        </w:rPr>
        <w:t xml:space="preserve"> </w:t>
      </w:r>
      <w:r w:rsidRPr="001E566B">
        <w:rPr>
          <w:rFonts w:ascii="仿宋" w:eastAsia="仿宋" w:hAnsi="仿宋" w:cs="Times New Roman"/>
          <w:b/>
          <w:color w:val="000000"/>
          <w:sz w:val="32"/>
          <w:szCs w:val="32"/>
        </w:rPr>
        <w:t>报告和披露</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w:t>
      </w:r>
      <w:r w:rsidRPr="00BC07D5">
        <w:rPr>
          <w:rFonts w:ascii="仿宋" w:eastAsia="仿宋" w:hAnsi="仿宋" w:cs="Times New Roman" w:hint="eastAsia"/>
          <w:color w:val="000000"/>
          <w:sz w:val="32"/>
          <w:szCs w:val="32"/>
        </w:rPr>
        <w:t>三十</w:t>
      </w:r>
      <w:r w:rsidRPr="00BC07D5">
        <w:rPr>
          <w:rFonts w:ascii="仿宋" w:eastAsia="仿宋" w:hAnsi="仿宋" w:cs="Times New Roman"/>
          <w:color w:val="000000"/>
          <w:sz w:val="32"/>
          <w:szCs w:val="32"/>
        </w:rPr>
        <w:t>六</w:t>
      </w:r>
      <w:r w:rsidRPr="00BC07D5">
        <w:rPr>
          <w:rFonts w:ascii="仿宋" w:eastAsia="仿宋" w:hAnsi="仿宋" w:cs="Times New Roman"/>
          <w:color w:val="000000"/>
          <w:sz w:val="32"/>
          <w:szCs w:val="32"/>
        </w:rPr>
        <w:t>条【总体要求】</w:t>
      </w:r>
      <w:bookmarkStart w:id="9" w:name="_Hlk97823398"/>
      <w:r w:rsidRPr="00BC07D5">
        <w:rPr>
          <w:rFonts w:ascii="仿宋" w:eastAsia="仿宋" w:hAnsi="仿宋" w:cs="Times New Roman"/>
          <w:color w:val="000000"/>
          <w:sz w:val="32"/>
          <w:szCs w:val="32"/>
        </w:rPr>
        <w:t>金融控股公司应当按照本办法有关规定，真实、准确、完整、及时地报告</w:t>
      </w:r>
      <w:r w:rsidRPr="00BC07D5">
        <w:rPr>
          <w:rFonts w:ascii="仿宋" w:eastAsia="仿宋" w:hAnsi="仿宋" w:cs="Times New Roman" w:hint="eastAsia"/>
          <w:color w:val="000000"/>
          <w:sz w:val="32"/>
          <w:szCs w:val="32"/>
        </w:rPr>
        <w:t>并</w:t>
      </w:r>
      <w:r w:rsidRPr="00BC07D5">
        <w:rPr>
          <w:rFonts w:ascii="仿宋" w:eastAsia="仿宋" w:hAnsi="仿宋" w:cs="Times New Roman"/>
          <w:color w:val="000000"/>
          <w:sz w:val="32"/>
          <w:szCs w:val="32"/>
        </w:rPr>
        <w:t>披露</w:t>
      </w:r>
      <w:r w:rsidRPr="00BC07D5">
        <w:rPr>
          <w:rFonts w:ascii="仿宋" w:eastAsia="仿宋" w:hAnsi="仿宋" w:cs="Times New Roman" w:hint="eastAsia"/>
          <w:color w:val="000000"/>
          <w:sz w:val="32"/>
          <w:szCs w:val="32"/>
        </w:rPr>
        <w:t>金融控股公司本级</w:t>
      </w:r>
      <w:r w:rsidRPr="00BC07D5">
        <w:rPr>
          <w:rFonts w:ascii="仿宋" w:eastAsia="仿宋" w:hAnsi="仿宋" w:cs="Times New Roman"/>
          <w:color w:val="000000"/>
          <w:sz w:val="32"/>
          <w:szCs w:val="32"/>
        </w:rPr>
        <w:t>关联交易</w:t>
      </w:r>
      <w:r w:rsidRPr="00BC07D5">
        <w:rPr>
          <w:rFonts w:ascii="仿宋" w:eastAsia="仿宋" w:hAnsi="仿宋" w:cs="Times New Roman" w:hint="eastAsia"/>
          <w:color w:val="000000"/>
          <w:sz w:val="32"/>
          <w:szCs w:val="32"/>
        </w:rPr>
        <w:t>、集团内部交易和集团对外关联交易</w:t>
      </w:r>
      <w:r w:rsidRPr="00BC07D5">
        <w:rPr>
          <w:rFonts w:ascii="仿宋" w:eastAsia="仿宋" w:hAnsi="仿宋" w:cs="Times New Roman"/>
          <w:color w:val="000000"/>
          <w:sz w:val="32"/>
          <w:szCs w:val="32"/>
        </w:rPr>
        <w:t>信息</w:t>
      </w:r>
      <w:bookmarkEnd w:id="9"/>
      <w:r w:rsidRPr="00BC07D5">
        <w:rPr>
          <w:rFonts w:ascii="仿宋" w:eastAsia="仿宋" w:hAnsi="仿宋" w:cs="Times New Roman"/>
          <w:color w:val="000000"/>
          <w:sz w:val="32"/>
          <w:szCs w:val="32"/>
        </w:rPr>
        <w:t>，不得存在任何虚假记载、误导性陈述或重大遗漏。</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关联交易</w:t>
      </w:r>
      <w:r w:rsidRPr="00BC07D5">
        <w:rPr>
          <w:rFonts w:ascii="仿宋" w:eastAsia="仿宋" w:hAnsi="仿宋" w:cs="Times New Roman" w:hint="eastAsia"/>
          <w:color w:val="000000"/>
          <w:sz w:val="32"/>
          <w:szCs w:val="32"/>
        </w:rPr>
        <w:t>管理</w:t>
      </w:r>
      <w:r w:rsidRPr="00BC07D5">
        <w:rPr>
          <w:rFonts w:ascii="仿宋" w:eastAsia="仿宋" w:hAnsi="仿宋" w:cs="Times New Roman"/>
          <w:color w:val="000000"/>
          <w:sz w:val="32"/>
          <w:szCs w:val="32"/>
        </w:rPr>
        <w:t>委员会应当统筹管理关联交易信息报告和披露工作，提高</w:t>
      </w:r>
      <w:r w:rsidRPr="00BC07D5">
        <w:rPr>
          <w:rFonts w:ascii="仿宋" w:eastAsia="仿宋" w:hAnsi="仿宋" w:cs="Times New Roman" w:hint="eastAsia"/>
          <w:color w:val="000000"/>
          <w:sz w:val="32"/>
          <w:szCs w:val="32"/>
        </w:rPr>
        <w:t>本级关联交易、集团内部交易和集团对外关联交易</w:t>
      </w:r>
      <w:r w:rsidRPr="00BC07D5">
        <w:rPr>
          <w:rFonts w:ascii="仿宋" w:eastAsia="仿宋" w:hAnsi="仿宋" w:cs="Times New Roman"/>
          <w:color w:val="000000"/>
          <w:sz w:val="32"/>
          <w:szCs w:val="32"/>
        </w:rPr>
        <w:t>的透明度。</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金融控股公司附属机构的关联交易由附属机构依据或参照有关规定进行报告和披露。</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w:t>
      </w:r>
      <w:r w:rsidRPr="00BC07D5">
        <w:rPr>
          <w:rFonts w:ascii="仿宋" w:eastAsia="仿宋" w:hAnsi="仿宋" w:cs="Times New Roman" w:hint="eastAsia"/>
          <w:color w:val="000000"/>
          <w:sz w:val="32"/>
          <w:szCs w:val="32"/>
        </w:rPr>
        <w:t>三十</w:t>
      </w:r>
      <w:r w:rsidRPr="00BC07D5">
        <w:rPr>
          <w:rFonts w:ascii="仿宋" w:eastAsia="仿宋" w:hAnsi="仿宋" w:cs="Times New Roman"/>
          <w:color w:val="000000"/>
          <w:sz w:val="32"/>
          <w:szCs w:val="32"/>
        </w:rPr>
        <w:t>七</w:t>
      </w:r>
      <w:r w:rsidRPr="00BC07D5">
        <w:rPr>
          <w:rFonts w:ascii="仿宋" w:eastAsia="仿宋" w:hAnsi="仿宋" w:cs="Times New Roman"/>
          <w:color w:val="000000"/>
          <w:sz w:val="32"/>
          <w:szCs w:val="32"/>
        </w:rPr>
        <w:t>条【逐笔报告情形】金融控股公司应当在签订</w:t>
      </w:r>
      <w:r w:rsidRPr="00BC07D5">
        <w:rPr>
          <w:rFonts w:ascii="仿宋" w:eastAsia="仿宋" w:hAnsi="仿宋" w:cs="Times New Roman" w:hint="eastAsia"/>
          <w:color w:val="000000"/>
          <w:sz w:val="32"/>
          <w:szCs w:val="32"/>
        </w:rPr>
        <w:t>本级重大关联交易</w:t>
      </w:r>
      <w:r w:rsidRPr="00BC07D5">
        <w:rPr>
          <w:rFonts w:ascii="仿宋" w:eastAsia="仿宋" w:hAnsi="仿宋" w:cs="Times New Roman"/>
          <w:color w:val="000000"/>
          <w:sz w:val="32"/>
          <w:szCs w:val="32"/>
        </w:rPr>
        <w:t>协议后十</w:t>
      </w:r>
      <w:r w:rsidRPr="00BC07D5">
        <w:rPr>
          <w:rFonts w:ascii="仿宋" w:eastAsia="仿宋" w:hAnsi="仿宋" w:cs="Times New Roman" w:hint="eastAsia"/>
          <w:color w:val="000000"/>
          <w:sz w:val="32"/>
          <w:szCs w:val="32"/>
        </w:rPr>
        <w:t>五</w:t>
      </w:r>
      <w:r w:rsidRPr="00BC07D5">
        <w:rPr>
          <w:rFonts w:ascii="仿宋" w:eastAsia="仿宋" w:hAnsi="仿宋" w:cs="Times New Roman"/>
          <w:color w:val="000000"/>
          <w:sz w:val="32"/>
          <w:szCs w:val="32"/>
        </w:rPr>
        <w:t>个工作日内逐笔向中国人民</w:t>
      </w:r>
      <w:r w:rsidRPr="00BC07D5">
        <w:rPr>
          <w:rFonts w:ascii="仿宋" w:eastAsia="仿宋" w:hAnsi="仿宋" w:cs="Times New Roman"/>
          <w:color w:val="000000"/>
          <w:sz w:val="32"/>
          <w:szCs w:val="32"/>
        </w:rPr>
        <w:lastRenderedPageBreak/>
        <w:t>银行</w:t>
      </w:r>
      <w:r w:rsidRPr="00BC07D5">
        <w:rPr>
          <w:rFonts w:ascii="仿宋" w:eastAsia="仿宋" w:hAnsi="仿宋" w:cs="Times New Roman" w:hint="eastAsia"/>
          <w:color w:val="000000"/>
          <w:sz w:val="32"/>
          <w:szCs w:val="32"/>
        </w:rPr>
        <w:t>及其</w:t>
      </w:r>
      <w:r w:rsidRPr="00BC07D5">
        <w:rPr>
          <w:rFonts w:ascii="仿宋" w:eastAsia="仿宋" w:hAnsi="仿宋" w:cs="Times New Roman"/>
          <w:color w:val="000000"/>
          <w:sz w:val="32"/>
          <w:szCs w:val="32"/>
        </w:rPr>
        <w:t>住所地</w:t>
      </w:r>
      <w:r w:rsidRPr="00BC07D5">
        <w:rPr>
          <w:rFonts w:ascii="仿宋" w:eastAsia="仿宋" w:hAnsi="仿宋" w:cs="Times New Roman" w:hint="eastAsia"/>
          <w:color w:val="000000"/>
          <w:sz w:val="32"/>
          <w:szCs w:val="32"/>
        </w:rPr>
        <w:t>分支机构</w:t>
      </w:r>
      <w:r w:rsidRPr="00BC07D5">
        <w:rPr>
          <w:rFonts w:ascii="仿宋" w:eastAsia="仿宋" w:hAnsi="仿宋" w:cs="Times New Roman"/>
          <w:color w:val="000000"/>
          <w:sz w:val="32"/>
          <w:szCs w:val="32"/>
        </w:rPr>
        <w:t>报告</w:t>
      </w:r>
      <w:r w:rsidRPr="00BC07D5">
        <w:rPr>
          <w:rFonts w:ascii="仿宋" w:eastAsia="仿宋" w:hAnsi="仿宋" w:cs="Times New Roman" w:hint="eastAsia"/>
          <w:color w:val="000000"/>
          <w:sz w:val="32"/>
          <w:szCs w:val="32"/>
        </w:rPr>
        <w:t>，</w:t>
      </w:r>
      <w:r w:rsidRPr="00BC07D5">
        <w:rPr>
          <w:rFonts w:ascii="仿宋" w:eastAsia="仿宋" w:hAnsi="仿宋" w:cs="Times New Roman"/>
          <w:color w:val="000000"/>
          <w:sz w:val="32"/>
          <w:szCs w:val="32"/>
        </w:rPr>
        <w:t>报告内容至少包括：</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（一）关联交易概述；</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（二）交易对手情况，包括关联自然人基本情况，关联法人或非法人组织的名称、</w:t>
      </w:r>
      <w:r w:rsidRPr="00BC07D5">
        <w:rPr>
          <w:rFonts w:ascii="仿宋" w:eastAsia="仿宋" w:hAnsi="仿宋" w:cs="Times New Roman" w:hint="eastAsia"/>
          <w:color w:val="000000"/>
          <w:sz w:val="32"/>
          <w:szCs w:val="32"/>
        </w:rPr>
        <w:t>经济性质或类型、主营业务或</w:t>
      </w:r>
      <w:r w:rsidRPr="00BC07D5">
        <w:rPr>
          <w:rFonts w:ascii="仿宋" w:eastAsia="仿宋" w:hAnsi="仿宋" w:cs="Times New Roman"/>
          <w:color w:val="000000"/>
          <w:sz w:val="32"/>
          <w:szCs w:val="32"/>
        </w:rPr>
        <w:t>经营范围、法定代表人、</w:t>
      </w:r>
      <w:r w:rsidRPr="00BC07D5">
        <w:rPr>
          <w:rFonts w:ascii="仿宋" w:eastAsia="仿宋" w:hAnsi="仿宋" w:cs="Times New Roman" w:hint="eastAsia"/>
          <w:color w:val="000000"/>
          <w:sz w:val="32"/>
          <w:szCs w:val="32"/>
        </w:rPr>
        <w:t>住所地、注册资本及其变化，</w:t>
      </w:r>
      <w:r w:rsidRPr="00BC07D5">
        <w:rPr>
          <w:rFonts w:ascii="仿宋" w:eastAsia="仿宋" w:hAnsi="仿宋" w:cs="Times New Roman"/>
          <w:color w:val="000000"/>
          <w:sz w:val="32"/>
          <w:szCs w:val="32"/>
        </w:rPr>
        <w:t>与金融控股公司存在的关联关系</w:t>
      </w:r>
      <w:r w:rsidRPr="00BC07D5">
        <w:rPr>
          <w:rFonts w:ascii="仿宋" w:eastAsia="仿宋" w:hAnsi="仿宋" w:cs="Times New Roman" w:hint="eastAsia"/>
          <w:color w:val="000000"/>
          <w:sz w:val="32"/>
          <w:szCs w:val="32"/>
        </w:rPr>
        <w:t>；</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（三）关联交易的具体情况</w:t>
      </w:r>
      <w:r w:rsidRPr="00BC07D5">
        <w:rPr>
          <w:rFonts w:ascii="仿宋" w:eastAsia="仿宋" w:hAnsi="仿宋" w:cs="Times New Roman" w:hint="eastAsia"/>
          <w:color w:val="000000"/>
          <w:sz w:val="32"/>
          <w:szCs w:val="32"/>
        </w:rPr>
        <w:t>，</w:t>
      </w:r>
      <w:r w:rsidRPr="00BC07D5">
        <w:rPr>
          <w:rFonts w:ascii="仿宋" w:eastAsia="仿宋" w:hAnsi="仿宋" w:cs="Times New Roman"/>
          <w:color w:val="000000"/>
          <w:sz w:val="32"/>
          <w:szCs w:val="32"/>
        </w:rPr>
        <w:t>包括穿透的交易架构图、交易目的、交易条件或对价、定价政策与依据</w:t>
      </w:r>
      <w:r w:rsidRPr="00BC07D5">
        <w:rPr>
          <w:rFonts w:ascii="仿宋" w:eastAsia="仿宋" w:hAnsi="仿宋" w:cs="Times New Roman" w:hint="eastAsia"/>
          <w:color w:val="000000"/>
          <w:sz w:val="32"/>
          <w:szCs w:val="32"/>
        </w:rPr>
        <w:t>、关联交易金额及相应比例</w:t>
      </w:r>
      <w:r w:rsidRPr="00BC07D5">
        <w:rPr>
          <w:rFonts w:ascii="仿宋" w:eastAsia="仿宋" w:hAnsi="仿宋" w:cs="Times New Roman"/>
          <w:color w:val="000000"/>
          <w:sz w:val="32"/>
          <w:szCs w:val="32"/>
        </w:rPr>
        <w:t>等；</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（四）关联交易的风险提示，以及对财务状况、经营成果的影响；</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（五）交易协议，交易涉及的有关法律文件和审批文件，以及中介服务机构出具的专业报告；</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（六）股东（大）会、董事会决议</w:t>
      </w:r>
      <w:r w:rsidRPr="00BC07D5">
        <w:rPr>
          <w:rFonts w:ascii="仿宋" w:eastAsia="仿宋" w:hAnsi="仿宋" w:cs="Times New Roman" w:hint="eastAsia"/>
          <w:color w:val="000000"/>
          <w:sz w:val="32"/>
          <w:szCs w:val="32"/>
        </w:rPr>
        <w:t>，</w:t>
      </w:r>
      <w:r w:rsidRPr="00BC07D5">
        <w:rPr>
          <w:rFonts w:ascii="仿宋" w:eastAsia="仿宋" w:hAnsi="仿宋" w:cs="Times New Roman"/>
          <w:color w:val="000000"/>
          <w:sz w:val="32"/>
          <w:szCs w:val="32"/>
        </w:rPr>
        <w:t>关联交易</w:t>
      </w:r>
      <w:r w:rsidRPr="00BC07D5">
        <w:rPr>
          <w:rFonts w:ascii="仿宋" w:eastAsia="仿宋" w:hAnsi="仿宋" w:cs="Times New Roman" w:hint="eastAsia"/>
          <w:color w:val="000000"/>
          <w:sz w:val="32"/>
          <w:szCs w:val="32"/>
        </w:rPr>
        <w:t>管理</w:t>
      </w:r>
      <w:r w:rsidRPr="00BC07D5">
        <w:rPr>
          <w:rFonts w:ascii="仿宋" w:eastAsia="仿宋" w:hAnsi="仿宋" w:cs="Times New Roman"/>
          <w:color w:val="000000"/>
          <w:sz w:val="32"/>
          <w:szCs w:val="32"/>
        </w:rPr>
        <w:t>委员会的意见或决议</w:t>
      </w:r>
      <w:r w:rsidRPr="00BC07D5">
        <w:rPr>
          <w:rFonts w:ascii="仿宋" w:eastAsia="仿宋" w:hAnsi="仿宋" w:cs="Times New Roman" w:hint="eastAsia"/>
          <w:color w:val="000000"/>
          <w:sz w:val="32"/>
          <w:szCs w:val="32"/>
        </w:rPr>
        <w:t>情况</w:t>
      </w:r>
      <w:r w:rsidRPr="00BC07D5">
        <w:rPr>
          <w:rFonts w:ascii="仿宋" w:eastAsia="仿宋" w:hAnsi="仿宋" w:cs="Times New Roman"/>
          <w:color w:val="000000"/>
          <w:sz w:val="32"/>
          <w:szCs w:val="32"/>
        </w:rPr>
        <w:t>，独立董事</w:t>
      </w:r>
      <w:r w:rsidRPr="00BC07D5">
        <w:rPr>
          <w:rFonts w:ascii="仿宋" w:eastAsia="仿宋" w:hAnsi="仿宋" w:cs="Times New Roman" w:hint="eastAsia"/>
          <w:color w:val="000000"/>
          <w:sz w:val="32"/>
          <w:szCs w:val="32"/>
        </w:rPr>
        <w:t>发表意见情况</w:t>
      </w:r>
      <w:r w:rsidRPr="00BC07D5">
        <w:rPr>
          <w:rFonts w:ascii="仿宋" w:eastAsia="仿宋" w:hAnsi="仿宋" w:cs="Times New Roman"/>
          <w:color w:val="000000"/>
          <w:sz w:val="32"/>
          <w:szCs w:val="32"/>
        </w:rPr>
        <w:t>。</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w:t>
      </w:r>
      <w:r w:rsidRPr="00BC07D5">
        <w:rPr>
          <w:rFonts w:ascii="仿宋" w:eastAsia="仿宋" w:hAnsi="仿宋" w:cs="Times New Roman" w:hint="eastAsia"/>
          <w:color w:val="000000"/>
          <w:sz w:val="32"/>
          <w:szCs w:val="32"/>
        </w:rPr>
        <w:t>三十</w:t>
      </w:r>
      <w:r w:rsidRPr="00BC07D5">
        <w:rPr>
          <w:rFonts w:ascii="仿宋" w:eastAsia="仿宋" w:hAnsi="仿宋" w:cs="Times New Roman"/>
          <w:color w:val="000000"/>
          <w:sz w:val="32"/>
          <w:szCs w:val="32"/>
        </w:rPr>
        <w:t>八</w:t>
      </w:r>
      <w:r w:rsidRPr="00BC07D5">
        <w:rPr>
          <w:rFonts w:ascii="仿宋" w:eastAsia="仿宋" w:hAnsi="仿宋" w:cs="Times New Roman"/>
          <w:color w:val="000000"/>
          <w:sz w:val="32"/>
          <w:szCs w:val="32"/>
        </w:rPr>
        <w:t>条【</w:t>
      </w:r>
      <w:r w:rsidRPr="00BC07D5">
        <w:rPr>
          <w:rFonts w:ascii="仿宋" w:eastAsia="仿宋" w:hAnsi="仿宋" w:cs="Times New Roman" w:hint="eastAsia"/>
          <w:color w:val="000000"/>
          <w:sz w:val="32"/>
          <w:szCs w:val="32"/>
        </w:rPr>
        <w:t>定期</w:t>
      </w:r>
      <w:r w:rsidRPr="00BC07D5">
        <w:rPr>
          <w:rFonts w:ascii="仿宋" w:eastAsia="仿宋" w:hAnsi="仿宋" w:cs="Times New Roman"/>
          <w:color w:val="000000"/>
          <w:sz w:val="32"/>
          <w:szCs w:val="32"/>
        </w:rPr>
        <w:t>报告】金融控股公司应当按本办法的有关规定，</w:t>
      </w:r>
      <w:r w:rsidRPr="00BC07D5">
        <w:rPr>
          <w:rFonts w:ascii="仿宋" w:eastAsia="仿宋" w:hAnsi="仿宋" w:cs="Times New Roman" w:hint="eastAsia"/>
          <w:color w:val="000000"/>
          <w:sz w:val="32"/>
          <w:szCs w:val="32"/>
        </w:rPr>
        <w:t>于每季度</w:t>
      </w:r>
      <w:r w:rsidRPr="00BC07D5">
        <w:rPr>
          <w:rFonts w:ascii="仿宋" w:eastAsia="仿宋" w:hAnsi="仿宋" w:cs="Times New Roman"/>
          <w:color w:val="000000"/>
          <w:sz w:val="32"/>
          <w:szCs w:val="32"/>
        </w:rPr>
        <w:t>结束后三十日内</w:t>
      </w:r>
      <w:r w:rsidRPr="00BC07D5">
        <w:rPr>
          <w:rFonts w:ascii="仿宋" w:eastAsia="仿宋" w:hAnsi="仿宋" w:cs="Times New Roman" w:hint="eastAsia"/>
          <w:color w:val="000000"/>
          <w:sz w:val="32"/>
          <w:szCs w:val="32"/>
        </w:rPr>
        <w:t>向中国人民银行及其</w:t>
      </w:r>
      <w:r w:rsidRPr="00BC07D5">
        <w:rPr>
          <w:rFonts w:ascii="仿宋" w:eastAsia="仿宋" w:hAnsi="仿宋" w:cs="Times New Roman"/>
          <w:color w:val="000000"/>
          <w:sz w:val="32"/>
          <w:szCs w:val="32"/>
        </w:rPr>
        <w:t>住所地</w:t>
      </w:r>
      <w:r w:rsidRPr="00BC07D5">
        <w:rPr>
          <w:rFonts w:ascii="仿宋" w:eastAsia="仿宋" w:hAnsi="仿宋" w:cs="Times New Roman" w:hint="eastAsia"/>
          <w:color w:val="000000"/>
          <w:sz w:val="32"/>
          <w:szCs w:val="32"/>
        </w:rPr>
        <w:t>分支机构</w:t>
      </w:r>
      <w:r w:rsidRPr="00BC07D5">
        <w:rPr>
          <w:rFonts w:ascii="仿宋" w:eastAsia="仿宋" w:hAnsi="仿宋" w:cs="Times New Roman"/>
          <w:color w:val="000000"/>
          <w:sz w:val="32"/>
          <w:szCs w:val="32"/>
        </w:rPr>
        <w:t>报送</w:t>
      </w:r>
      <w:r w:rsidRPr="00BC07D5">
        <w:rPr>
          <w:rFonts w:ascii="仿宋" w:eastAsia="仿宋" w:hAnsi="仿宋" w:cs="Times New Roman" w:hint="eastAsia"/>
          <w:color w:val="000000"/>
          <w:sz w:val="32"/>
          <w:szCs w:val="32"/>
        </w:rPr>
        <w:t>关联交易整体情况，包括本级关联交易、集团内部交易和集团对外关联交易的交易类型、交易金额、限额管理情况、交易评估</w:t>
      </w:r>
      <w:r w:rsidRPr="00BC07D5">
        <w:rPr>
          <w:rFonts w:ascii="仿宋" w:eastAsia="仿宋" w:hAnsi="仿宋" w:cs="Times New Roman"/>
          <w:color w:val="000000"/>
          <w:sz w:val="32"/>
          <w:szCs w:val="32"/>
        </w:rPr>
        <w:t>、分析评估报告</w:t>
      </w:r>
      <w:r w:rsidRPr="00BC07D5">
        <w:rPr>
          <w:rFonts w:ascii="仿宋" w:eastAsia="仿宋" w:hAnsi="仿宋" w:cs="Times New Roman" w:hint="eastAsia"/>
          <w:color w:val="000000"/>
          <w:sz w:val="32"/>
          <w:szCs w:val="32"/>
        </w:rPr>
        <w:t>等。</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金融控股公司本级关联交易、集团内部交易和集团对外关联交易的年度评估报告应当提交董事会批准。</w:t>
      </w:r>
      <w:r w:rsidRPr="00BC07D5">
        <w:rPr>
          <w:rFonts w:ascii="仿宋" w:eastAsia="仿宋" w:hAnsi="仿宋" w:cs="Times New Roman"/>
          <w:color w:val="000000"/>
          <w:sz w:val="32"/>
          <w:szCs w:val="32"/>
        </w:rPr>
        <w:t>金融控股公</w:t>
      </w:r>
      <w:r w:rsidRPr="00BC07D5">
        <w:rPr>
          <w:rFonts w:ascii="仿宋" w:eastAsia="仿宋" w:hAnsi="仿宋" w:cs="Times New Roman"/>
          <w:color w:val="000000"/>
          <w:sz w:val="32"/>
          <w:szCs w:val="32"/>
        </w:rPr>
        <w:lastRenderedPageBreak/>
        <w:t>司董事会应当每年向股东</w:t>
      </w:r>
      <w:r w:rsidRPr="00BC07D5">
        <w:rPr>
          <w:rFonts w:ascii="仿宋" w:eastAsia="仿宋" w:hAnsi="仿宋" w:cs="Times New Roman" w:hint="eastAsia"/>
          <w:color w:val="000000"/>
          <w:sz w:val="32"/>
          <w:szCs w:val="32"/>
        </w:rPr>
        <w:t>（</w:t>
      </w:r>
      <w:r w:rsidRPr="00BC07D5">
        <w:rPr>
          <w:rFonts w:ascii="仿宋" w:eastAsia="仿宋" w:hAnsi="仿宋" w:cs="Times New Roman"/>
          <w:color w:val="000000"/>
          <w:sz w:val="32"/>
          <w:szCs w:val="32"/>
        </w:rPr>
        <w:t>大</w:t>
      </w:r>
      <w:r w:rsidRPr="00BC07D5">
        <w:rPr>
          <w:rFonts w:ascii="仿宋" w:eastAsia="仿宋" w:hAnsi="仿宋" w:cs="Times New Roman" w:hint="eastAsia"/>
          <w:color w:val="000000"/>
          <w:sz w:val="32"/>
          <w:szCs w:val="32"/>
        </w:rPr>
        <w:t>）</w:t>
      </w:r>
      <w:r w:rsidRPr="00BC07D5">
        <w:rPr>
          <w:rFonts w:ascii="仿宋" w:eastAsia="仿宋" w:hAnsi="仿宋" w:cs="Times New Roman"/>
          <w:color w:val="000000"/>
          <w:sz w:val="32"/>
          <w:szCs w:val="32"/>
        </w:rPr>
        <w:t>会就</w:t>
      </w:r>
      <w:r w:rsidRPr="00BC07D5">
        <w:rPr>
          <w:rFonts w:ascii="仿宋" w:eastAsia="仿宋" w:hAnsi="仿宋" w:cs="Times New Roman" w:hint="eastAsia"/>
          <w:color w:val="000000"/>
          <w:sz w:val="32"/>
          <w:szCs w:val="32"/>
        </w:rPr>
        <w:t>本级</w:t>
      </w:r>
      <w:r w:rsidRPr="00BC07D5">
        <w:rPr>
          <w:rFonts w:ascii="仿宋" w:eastAsia="仿宋" w:hAnsi="仿宋" w:cs="Times New Roman"/>
          <w:color w:val="000000"/>
          <w:sz w:val="32"/>
          <w:szCs w:val="32"/>
        </w:rPr>
        <w:t>关联交易</w:t>
      </w:r>
      <w:r w:rsidRPr="00BC07D5">
        <w:rPr>
          <w:rFonts w:ascii="仿宋" w:eastAsia="仿宋" w:hAnsi="仿宋" w:cs="Times New Roman" w:hint="eastAsia"/>
          <w:color w:val="000000"/>
          <w:sz w:val="32"/>
          <w:szCs w:val="32"/>
        </w:rPr>
        <w:t>、集团内部交易和集团对外关联交易</w:t>
      </w:r>
      <w:r w:rsidRPr="00BC07D5">
        <w:rPr>
          <w:rFonts w:ascii="仿宋" w:eastAsia="仿宋" w:hAnsi="仿宋" w:cs="Times New Roman"/>
          <w:color w:val="000000"/>
          <w:sz w:val="32"/>
          <w:szCs w:val="32"/>
        </w:rPr>
        <w:t>整体情况做出专项报告，并</w:t>
      </w:r>
      <w:r w:rsidRPr="00BC07D5">
        <w:rPr>
          <w:rFonts w:ascii="仿宋" w:eastAsia="仿宋" w:hAnsi="仿宋" w:cs="Times New Roman" w:hint="eastAsia"/>
          <w:color w:val="000000"/>
          <w:sz w:val="32"/>
          <w:szCs w:val="32"/>
        </w:rPr>
        <w:t>向</w:t>
      </w:r>
      <w:r w:rsidRPr="00BC07D5">
        <w:rPr>
          <w:rFonts w:ascii="仿宋" w:eastAsia="仿宋" w:hAnsi="仿宋" w:cs="Times New Roman"/>
          <w:color w:val="000000"/>
          <w:sz w:val="32"/>
          <w:szCs w:val="32"/>
        </w:rPr>
        <w:t>中国人民银行</w:t>
      </w:r>
      <w:r w:rsidRPr="00BC07D5">
        <w:rPr>
          <w:rFonts w:ascii="仿宋" w:eastAsia="仿宋" w:hAnsi="仿宋" w:cs="Times New Roman" w:hint="eastAsia"/>
          <w:color w:val="000000"/>
          <w:sz w:val="32"/>
          <w:szCs w:val="32"/>
        </w:rPr>
        <w:t>及其</w:t>
      </w:r>
      <w:r w:rsidRPr="00BC07D5">
        <w:rPr>
          <w:rFonts w:ascii="仿宋" w:eastAsia="仿宋" w:hAnsi="仿宋" w:cs="Times New Roman"/>
          <w:color w:val="000000"/>
          <w:sz w:val="32"/>
          <w:szCs w:val="32"/>
        </w:rPr>
        <w:t>住所地</w:t>
      </w:r>
      <w:r w:rsidRPr="00BC07D5">
        <w:rPr>
          <w:rFonts w:ascii="仿宋" w:eastAsia="仿宋" w:hAnsi="仿宋" w:cs="Times New Roman" w:hint="eastAsia"/>
          <w:color w:val="000000"/>
          <w:sz w:val="32"/>
          <w:szCs w:val="32"/>
        </w:rPr>
        <w:t>分支机构报送。</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w:t>
      </w:r>
      <w:r w:rsidRPr="00BC07D5">
        <w:rPr>
          <w:rFonts w:ascii="仿宋" w:eastAsia="仿宋" w:hAnsi="仿宋" w:cs="Times New Roman" w:hint="eastAsia"/>
          <w:color w:val="000000"/>
          <w:sz w:val="32"/>
          <w:szCs w:val="32"/>
        </w:rPr>
        <w:t>三十</w:t>
      </w:r>
      <w:r w:rsidRPr="00BC07D5">
        <w:rPr>
          <w:rFonts w:ascii="仿宋" w:eastAsia="仿宋" w:hAnsi="仿宋" w:cs="Times New Roman"/>
          <w:color w:val="000000"/>
          <w:sz w:val="32"/>
          <w:szCs w:val="32"/>
        </w:rPr>
        <w:t>九</w:t>
      </w:r>
      <w:r w:rsidRPr="00BC07D5">
        <w:rPr>
          <w:rFonts w:ascii="仿宋" w:eastAsia="仿宋" w:hAnsi="仿宋" w:cs="Times New Roman"/>
          <w:color w:val="000000"/>
          <w:sz w:val="32"/>
          <w:szCs w:val="32"/>
        </w:rPr>
        <w:t>条【信息披露】金融控股公司应当</w:t>
      </w:r>
      <w:bookmarkStart w:id="10" w:name="_Hlk97823525"/>
      <w:r w:rsidRPr="00BC07D5">
        <w:rPr>
          <w:rFonts w:ascii="仿宋" w:eastAsia="仿宋" w:hAnsi="仿宋" w:cs="Times New Roman" w:hint="eastAsia"/>
          <w:color w:val="000000"/>
          <w:sz w:val="32"/>
          <w:szCs w:val="32"/>
        </w:rPr>
        <w:t>在公司年报中披露当年本级关联交易的总体情况。</w:t>
      </w:r>
      <w:r w:rsidRPr="00BC07D5">
        <w:rPr>
          <w:rFonts w:ascii="仿宋" w:eastAsia="仿宋" w:hAnsi="仿宋" w:cs="Times New Roman"/>
          <w:color w:val="000000"/>
          <w:sz w:val="32"/>
          <w:szCs w:val="32"/>
        </w:rPr>
        <w:t>金融控股公司应当在签订</w:t>
      </w:r>
      <w:r w:rsidRPr="00BC07D5">
        <w:rPr>
          <w:rFonts w:ascii="仿宋" w:eastAsia="仿宋" w:hAnsi="仿宋" w:cs="Times New Roman" w:hint="eastAsia"/>
          <w:color w:val="000000"/>
          <w:sz w:val="32"/>
          <w:szCs w:val="32"/>
        </w:rPr>
        <w:t>本级关联</w:t>
      </w:r>
      <w:r w:rsidRPr="00BC07D5">
        <w:rPr>
          <w:rFonts w:ascii="仿宋" w:eastAsia="仿宋" w:hAnsi="仿宋" w:cs="Times New Roman"/>
          <w:color w:val="000000"/>
          <w:sz w:val="32"/>
          <w:szCs w:val="32"/>
        </w:rPr>
        <w:t>交易协议后十</w:t>
      </w:r>
      <w:r w:rsidRPr="00BC07D5">
        <w:rPr>
          <w:rFonts w:ascii="仿宋" w:eastAsia="仿宋" w:hAnsi="仿宋" w:cs="Times New Roman" w:hint="eastAsia"/>
          <w:color w:val="000000"/>
          <w:sz w:val="32"/>
          <w:szCs w:val="32"/>
        </w:rPr>
        <w:t>五</w:t>
      </w:r>
      <w:r w:rsidRPr="00BC07D5">
        <w:rPr>
          <w:rFonts w:ascii="仿宋" w:eastAsia="仿宋" w:hAnsi="仿宋" w:cs="Times New Roman"/>
          <w:color w:val="000000"/>
          <w:sz w:val="32"/>
          <w:szCs w:val="32"/>
        </w:rPr>
        <w:t>个工作日内在公司</w:t>
      </w:r>
      <w:r w:rsidRPr="00BC07D5">
        <w:rPr>
          <w:rFonts w:ascii="仿宋" w:eastAsia="仿宋" w:hAnsi="仿宋" w:cs="Times New Roman"/>
          <w:color w:val="000000"/>
          <w:sz w:val="32"/>
          <w:szCs w:val="32"/>
        </w:rPr>
        <w:t>网站逐笔披露本办法第</w:t>
      </w:r>
      <w:r w:rsidRPr="00BC07D5">
        <w:rPr>
          <w:rFonts w:ascii="仿宋" w:eastAsia="仿宋" w:hAnsi="仿宋" w:cs="Times New Roman" w:hint="eastAsia"/>
          <w:color w:val="000000"/>
          <w:sz w:val="32"/>
          <w:szCs w:val="32"/>
        </w:rPr>
        <w:t>三十六</w:t>
      </w:r>
      <w:r w:rsidRPr="00BC07D5">
        <w:rPr>
          <w:rFonts w:ascii="仿宋" w:eastAsia="仿宋" w:hAnsi="仿宋" w:cs="Times New Roman"/>
          <w:color w:val="000000"/>
          <w:sz w:val="32"/>
          <w:szCs w:val="32"/>
        </w:rPr>
        <w:t>条</w:t>
      </w:r>
      <w:r w:rsidRPr="00BC07D5">
        <w:rPr>
          <w:rFonts w:ascii="仿宋" w:eastAsia="仿宋" w:hAnsi="仿宋" w:cs="Times New Roman" w:hint="eastAsia"/>
          <w:color w:val="000000"/>
          <w:sz w:val="32"/>
          <w:szCs w:val="32"/>
        </w:rPr>
        <w:t>规定需逐笔报告的重大关联交易。</w:t>
      </w:r>
      <w:r w:rsidRPr="00BC07D5">
        <w:rPr>
          <w:rFonts w:ascii="仿宋" w:eastAsia="仿宋" w:hAnsi="仿宋" w:cs="Times New Roman"/>
          <w:color w:val="000000"/>
          <w:sz w:val="32"/>
          <w:szCs w:val="32"/>
        </w:rPr>
        <w:t>一般关联交易应</w:t>
      </w:r>
      <w:r w:rsidRPr="00BC07D5">
        <w:rPr>
          <w:rFonts w:ascii="仿宋" w:eastAsia="仿宋" w:hAnsi="仿宋" w:cs="Times New Roman" w:hint="eastAsia"/>
          <w:color w:val="000000"/>
          <w:sz w:val="32"/>
          <w:szCs w:val="32"/>
        </w:rPr>
        <w:t>当</w:t>
      </w:r>
      <w:r w:rsidRPr="00BC07D5">
        <w:rPr>
          <w:rFonts w:ascii="仿宋" w:eastAsia="仿宋" w:hAnsi="仿宋" w:cs="Times New Roman"/>
          <w:color w:val="000000"/>
          <w:sz w:val="32"/>
          <w:szCs w:val="32"/>
        </w:rPr>
        <w:t>在每季度结束后三十日内</w:t>
      </w:r>
      <w:r w:rsidRPr="00BC07D5">
        <w:rPr>
          <w:rFonts w:ascii="仿宋" w:eastAsia="仿宋" w:hAnsi="仿宋" w:cs="Times New Roman" w:hint="eastAsia"/>
          <w:color w:val="000000"/>
          <w:sz w:val="32"/>
          <w:szCs w:val="32"/>
        </w:rPr>
        <w:t>按照关联方和交易类型</w:t>
      </w:r>
      <w:r w:rsidRPr="00BC07D5">
        <w:rPr>
          <w:rFonts w:ascii="仿宋" w:eastAsia="仿宋" w:hAnsi="仿宋" w:cs="Times New Roman"/>
          <w:color w:val="000000"/>
          <w:sz w:val="32"/>
          <w:szCs w:val="32"/>
        </w:rPr>
        <w:t>在公司网站</w:t>
      </w:r>
      <w:r w:rsidRPr="00BC07D5">
        <w:rPr>
          <w:rFonts w:ascii="仿宋" w:eastAsia="仿宋" w:hAnsi="仿宋" w:cs="Times New Roman" w:hint="eastAsia"/>
          <w:color w:val="000000"/>
          <w:sz w:val="32"/>
          <w:szCs w:val="32"/>
        </w:rPr>
        <w:t>合并披露。</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金融控股公司应当在每季度结束后三十日内在公司网站披露本季度集团内部交易和集团对外关联交易的定性与定量信息，并在公司年报中作出专项说明，提高整个金融控股集团运作的透明度。</w:t>
      </w:r>
    </w:p>
    <w:bookmarkEnd w:id="10"/>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金融控股公司</w:t>
      </w:r>
      <w:r w:rsidRPr="00BC07D5">
        <w:rPr>
          <w:rFonts w:ascii="仿宋" w:eastAsia="仿宋" w:hAnsi="仿宋" w:cs="Times New Roman" w:hint="eastAsia"/>
          <w:color w:val="000000"/>
          <w:sz w:val="32"/>
          <w:szCs w:val="32"/>
        </w:rPr>
        <w:t>本级的</w:t>
      </w:r>
      <w:r w:rsidRPr="00BC07D5">
        <w:rPr>
          <w:rFonts w:ascii="仿宋" w:eastAsia="仿宋" w:hAnsi="仿宋" w:cs="Times New Roman"/>
          <w:color w:val="000000"/>
          <w:sz w:val="32"/>
          <w:szCs w:val="32"/>
        </w:rPr>
        <w:t>关联交易</w:t>
      </w:r>
      <w:r w:rsidRPr="00BC07D5">
        <w:rPr>
          <w:rFonts w:ascii="仿宋" w:eastAsia="仿宋" w:hAnsi="仿宋" w:cs="Times New Roman" w:hint="eastAsia"/>
          <w:color w:val="000000"/>
          <w:sz w:val="32"/>
          <w:szCs w:val="32"/>
        </w:rPr>
        <w:t>、集团内部交易和集团对外关联交易</w:t>
      </w:r>
      <w:r w:rsidRPr="00BC07D5">
        <w:rPr>
          <w:rFonts w:ascii="仿宋" w:eastAsia="仿宋" w:hAnsi="仿宋" w:cs="Times New Roman"/>
          <w:color w:val="000000"/>
          <w:sz w:val="32"/>
          <w:szCs w:val="32"/>
        </w:rPr>
        <w:t>信息涉及国家秘密、商业秘密</w:t>
      </w:r>
      <w:r w:rsidRPr="00BC07D5">
        <w:rPr>
          <w:rFonts w:ascii="仿宋" w:eastAsia="仿宋" w:hAnsi="仿宋" w:cs="Times New Roman" w:hint="eastAsia"/>
          <w:color w:val="000000"/>
          <w:sz w:val="32"/>
          <w:szCs w:val="32"/>
        </w:rPr>
        <w:t>等</w:t>
      </w:r>
      <w:r w:rsidRPr="00BC07D5">
        <w:rPr>
          <w:rFonts w:ascii="仿宋" w:eastAsia="仿宋" w:hAnsi="仿宋" w:cs="Times New Roman"/>
          <w:color w:val="000000"/>
          <w:sz w:val="32"/>
          <w:szCs w:val="32"/>
        </w:rPr>
        <w:t>情形</w:t>
      </w:r>
      <w:r w:rsidRPr="00BC07D5">
        <w:rPr>
          <w:rFonts w:ascii="仿宋" w:eastAsia="仿宋" w:hAnsi="仿宋" w:cs="Times New Roman" w:hint="eastAsia"/>
          <w:color w:val="000000"/>
          <w:sz w:val="32"/>
          <w:szCs w:val="32"/>
        </w:rPr>
        <w:t>的</w:t>
      </w:r>
      <w:r w:rsidRPr="00BC07D5">
        <w:rPr>
          <w:rFonts w:ascii="仿宋" w:eastAsia="仿宋" w:hAnsi="仿宋" w:cs="Times New Roman"/>
          <w:color w:val="000000"/>
          <w:sz w:val="32"/>
          <w:szCs w:val="32"/>
        </w:rPr>
        <w:t>，</w:t>
      </w:r>
      <w:r w:rsidRPr="00BC07D5">
        <w:rPr>
          <w:rFonts w:ascii="仿宋" w:eastAsia="仿宋" w:hAnsi="仿宋" w:cs="Times New Roman" w:hint="eastAsia"/>
          <w:color w:val="000000"/>
          <w:sz w:val="32"/>
          <w:szCs w:val="32"/>
        </w:rPr>
        <w:t>金融控股公司可以豁免</w:t>
      </w:r>
      <w:r w:rsidRPr="00BC07D5">
        <w:rPr>
          <w:rFonts w:ascii="仿宋" w:eastAsia="仿宋" w:hAnsi="仿宋" w:cs="Times New Roman"/>
          <w:color w:val="000000"/>
          <w:sz w:val="32"/>
          <w:szCs w:val="32"/>
        </w:rPr>
        <w:t>按照本办法披露或履行相关义务</w:t>
      </w:r>
      <w:r w:rsidRPr="00BC07D5">
        <w:rPr>
          <w:rFonts w:ascii="仿宋" w:eastAsia="仿宋" w:hAnsi="仿宋" w:cs="Times New Roman" w:hint="eastAsia"/>
          <w:color w:val="000000"/>
          <w:sz w:val="32"/>
          <w:szCs w:val="32"/>
        </w:rPr>
        <w:t>，并向中国人民银行报告。</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国务院金融监督管理机构另有规定的，从其规定。</w:t>
      </w:r>
    </w:p>
    <w:p w:rsidR="00093110" w:rsidRPr="00BC07D5" w:rsidRDefault="00093110">
      <w:pPr>
        <w:ind w:firstLineChars="200" w:firstLine="640"/>
        <w:rPr>
          <w:rFonts w:ascii="仿宋" w:eastAsia="仿宋" w:hAnsi="仿宋" w:cs="Times New Roman"/>
          <w:color w:val="000000"/>
          <w:sz w:val="32"/>
          <w:szCs w:val="32"/>
        </w:rPr>
      </w:pPr>
    </w:p>
    <w:p w:rsidR="00093110" w:rsidRPr="001E566B" w:rsidRDefault="00550CEA">
      <w:pPr>
        <w:jc w:val="center"/>
        <w:rPr>
          <w:rFonts w:ascii="仿宋" w:eastAsia="仿宋" w:hAnsi="仿宋" w:cs="Times New Roman"/>
          <w:b/>
          <w:color w:val="000000"/>
          <w:sz w:val="32"/>
          <w:szCs w:val="32"/>
        </w:rPr>
      </w:pPr>
      <w:r w:rsidRPr="001E566B">
        <w:rPr>
          <w:rFonts w:ascii="仿宋" w:eastAsia="仿宋" w:hAnsi="仿宋" w:cs="Times New Roman"/>
          <w:b/>
          <w:color w:val="000000"/>
          <w:sz w:val="32"/>
          <w:szCs w:val="32"/>
        </w:rPr>
        <w:t>第</w:t>
      </w:r>
      <w:r w:rsidRPr="001E566B">
        <w:rPr>
          <w:rFonts w:ascii="仿宋" w:eastAsia="仿宋" w:hAnsi="仿宋" w:cs="Times New Roman"/>
          <w:b/>
          <w:color w:val="000000"/>
          <w:sz w:val="32"/>
          <w:szCs w:val="32"/>
        </w:rPr>
        <w:t>六</w:t>
      </w:r>
      <w:r w:rsidRPr="001E566B">
        <w:rPr>
          <w:rFonts w:ascii="仿宋" w:eastAsia="仿宋" w:hAnsi="仿宋" w:cs="Times New Roman"/>
          <w:b/>
          <w:color w:val="000000"/>
          <w:sz w:val="32"/>
          <w:szCs w:val="32"/>
        </w:rPr>
        <w:t>章</w:t>
      </w:r>
      <w:r w:rsidRPr="001E566B">
        <w:rPr>
          <w:rFonts w:ascii="仿宋" w:eastAsia="仿宋" w:hAnsi="仿宋" w:cs="Times New Roman" w:hint="eastAsia"/>
          <w:b/>
          <w:color w:val="000000"/>
          <w:sz w:val="32"/>
          <w:szCs w:val="32"/>
        </w:rPr>
        <w:t xml:space="preserve"> </w:t>
      </w:r>
      <w:r w:rsidRPr="001E566B">
        <w:rPr>
          <w:rFonts w:ascii="仿宋" w:eastAsia="仿宋" w:hAnsi="仿宋" w:cs="Times New Roman"/>
          <w:b/>
          <w:color w:val="000000"/>
          <w:sz w:val="32"/>
          <w:szCs w:val="32"/>
        </w:rPr>
        <w:t>监督管理</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w:t>
      </w:r>
      <w:r w:rsidRPr="00BC07D5">
        <w:rPr>
          <w:rFonts w:ascii="仿宋" w:eastAsia="仿宋" w:hAnsi="仿宋" w:cs="Times New Roman"/>
          <w:color w:val="000000"/>
          <w:sz w:val="32"/>
          <w:szCs w:val="32"/>
        </w:rPr>
        <w:t>四十</w:t>
      </w:r>
      <w:r w:rsidRPr="00BC07D5">
        <w:rPr>
          <w:rFonts w:ascii="仿宋" w:eastAsia="仿宋" w:hAnsi="仿宋" w:cs="Times New Roman" w:hint="eastAsia"/>
          <w:color w:val="000000"/>
          <w:sz w:val="32"/>
          <w:szCs w:val="32"/>
        </w:rPr>
        <w:t>条【监管合作与信息共享】</w:t>
      </w:r>
      <w:bookmarkStart w:id="11" w:name="_Hlk97823727"/>
      <w:r w:rsidRPr="00BC07D5">
        <w:rPr>
          <w:rFonts w:ascii="仿宋" w:eastAsia="仿宋" w:hAnsi="仿宋" w:cs="Times New Roman" w:hint="eastAsia"/>
          <w:color w:val="000000"/>
          <w:sz w:val="32"/>
          <w:szCs w:val="32"/>
        </w:rPr>
        <w:t>中国人民银行与相关部门之间建立监管合作与信息共享机制，加强金融控股公司</w:t>
      </w:r>
      <w:r w:rsidRPr="00BC07D5">
        <w:rPr>
          <w:rFonts w:ascii="仿宋" w:eastAsia="仿宋" w:hAnsi="仿宋" w:cs="Times New Roman" w:hint="eastAsia"/>
          <w:color w:val="000000"/>
          <w:sz w:val="32"/>
          <w:szCs w:val="32"/>
        </w:rPr>
        <w:lastRenderedPageBreak/>
        <w:t>及其附属机构的关联交易监管</w:t>
      </w:r>
      <w:bookmarkEnd w:id="11"/>
      <w:r w:rsidRPr="00BC07D5">
        <w:rPr>
          <w:rFonts w:ascii="仿宋" w:eastAsia="仿宋" w:hAnsi="仿宋" w:cs="Times New Roman" w:hint="eastAsia"/>
          <w:color w:val="000000"/>
          <w:sz w:val="32"/>
          <w:szCs w:val="32"/>
        </w:rPr>
        <w:t>，</w:t>
      </w:r>
      <w:r w:rsidRPr="00BC07D5">
        <w:rPr>
          <w:rFonts w:ascii="仿宋" w:eastAsia="仿宋" w:hAnsi="仿宋" w:cs="Times New Roman"/>
          <w:color w:val="000000"/>
          <w:sz w:val="32"/>
          <w:szCs w:val="32"/>
        </w:rPr>
        <w:t>及时共享相关关联方及关联交易信息，</w:t>
      </w:r>
      <w:r w:rsidRPr="00BC07D5">
        <w:rPr>
          <w:rFonts w:ascii="仿宋" w:eastAsia="仿宋" w:hAnsi="仿宋" w:cs="Times New Roman" w:hint="eastAsia"/>
          <w:color w:val="000000"/>
          <w:sz w:val="32"/>
          <w:szCs w:val="32"/>
        </w:rPr>
        <w:t>在必要时依据职责分工采取相应的监管措施。</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第四十</w:t>
      </w:r>
      <w:r w:rsidRPr="00BC07D5">
        <w:rPr>
          <w:rFonts w:ascii="仿宋" w:eastAsia="仿宋" w:hAnsi="仿宋" w:cs="Times New Roman"/>
          <w:color w:val="000000"/>
          <w:sz w:val="32"/>
          <w:szCs w:val="32"/>
        </w:rPr>
        <w:t>一</w:t>
      </w:r>
      <w:r w:rsidRPr="00BC07D5">
        <w:rPr>
          <w:rFonts w:ascii="仿宋" w:eastAsia="仿宋" w:hAnsi="仿宋" w:cs="Times New Roman" w:hint="eastAsia"/>
          <w:color w:val="000000"/>
          <w:sz w:val="32"/>
          <w:szCs w:val="32"/>
        </w:rPr>
        <w:t>条【</w:t>
      </w:r>
      <w:r w:rsidRPr="00BC07D5">
        <w:rPr>
          <w:rFonts w:ascii="仿宋" w:eastAsia="仿宋" w:hAnsi="仿宋" w:cs="Times New Roman"/>
          <w:color w:val="000000"/>
          <w:sz w:val="32"/>
          <w:szCs w:val="32"/>
        </w:rPr>
        <w:t>机构</w:t>
      </w:r>
      <w:r w:rsidRPr="00BC07D5">
        <w:rPr>
          <w:rFonts w:ascii="仿宋" w:eastAsia="仿宋" w:hAnsi="仿宋" w:cs="Times New Roman" w:hint="eastAsia"/>
          <w:color w:val="000000"/>
          <w:sz w:val="32"/>
          <w:szCs w:val="32"/>
        </w:rPr>
        <w:t>违规】金融控股公司违反本办法规定，未按要求管理、报告、披露关联交易，或者违规开展关联交易的，</w:t>
      </w:r>
      <w:r w:rsidRPr="00BC07D5">
        <w:rPr>
          <w:rFonts w:ascii="仿宋" w:eastAsia="仿宋" w:hAnsi="仿宋" w:cs="Times New Roman"/>
          <w:color w:val="000000"/>
          <w:sz w:val="32"/>
          <w:szCs w:val="32"/>
        </w:rPr>
        <w:t>中国人民银行应当要求其限期整改。</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对于逾期未整改的，中国人民银行可以与金融控股公司的董事、监事、高级管理人员进行监督管理谈话，并要求</w:t>
      </w:r>
      <w:r w:rsidRPr="00BC07D5">
        <w:rPr>
          <w:rFonts w:ascii="仿宋" w:eastAsia="仿宋" w:hAnsi="仿宋" w:cs="Times New Roman"/>
          <w:color w:val="000000"/>
          <w:sz w:val="32"/>
          <w:szCs w:val="32"/>
        </w:rPr>
        <w:t>金融控股公司采取限制经营活动等措施。</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金融控股公司违反本办法规定，违规开展关联交易的，中国人民银行可以依据《金融控股公司监督管理试行办法》第五十二条实施处罚</w:t>
      </w:r>
      <w:r w:rsidRPr="00BC07D5">
        <w:rPr>
          <w:rFonts w:ascii="仿宋" w:eastAsia="仿宋" w:hAnsi="仿宋" w:cs="Times New Roman" w:hint="eastAsia"/>
          <w:color w:val="000000"/>
          <w:sz w:val="32"/>
          <w:szCs w:val="32"/>
        </w:rPr>
        <w:t>。涉嫌</w:t>
      </w:r>
      <w:r w:rsidRPr="00BC07D5">
        <w:rPr>
          <w:rFonts w:ascii="仿宋" w:eastAsia="仿宋" w:hAnsi="仿宋" w:cs="Times New Roman"/>
          <w:color w:val="000000"/>
          <w:sz w:val="32"/>
          <w:szCs w:val="32"/>
        </w:rPr>
        <w:t>构成</w:t>
      </w:r>
      <w:r w:rsidRPr="00BC07D5">
        <w:rPr>
          <w:rFonts w:ascii="仿宋" w:eastAsia="仿宋" w:hAnsi="仿宋" w:cs="Times New Roman" w:hint="eastAsia"/>
          <w:color w:val="000000"/>
          <w:sz w:val="32"/>
          <w:szCs w:val="32"/>
        </w:rPr>
        <w:t>犯罪的，</w:t>
      </w:r>
      <w:r w:rsidRPr="00BC07D5">
        <w:rPr>
          <w:rFonts w:ascii="仿宋" w:eastAsia="仿宋" w:hAnsi="仿宋" w:cs="Times New Roman"/>
          <w:color w:val="000000"/>
          <w:sz w:val="32"/>
          <w:szCs w:val="32"/>
        </w:rPr>
        <w:t>移送有关</w:t>
      </w:r>
      <w:r w:rsidRPr="00BC07D5">
        <w:rPr>
          <w:rFonts w:ascii="仿宋" w:eastAsia="仿宋" w:hAnsi="仿宋" w:cs="Times New Roman" w:hint="eastAsia"/>
          <w:color w:val="000000"/>
          <w:sz w:val="32"/>
          <w:szCs w:val="32"/>
        </w:rPr>
        <w:t>机关</w:t>
      </w:r>
      <w:r w:rsidRPr="00BC07D5">
        <w:rPr>
          <w:rFonts w:ascii="仿宋" w:eastAsia="仿宋" w:hAnsi="仿宋" w:cs="Times New Roman"/>
          <w:color w:val="000000"/>
          <w:sz w:val="32"/>
          <w:szCs w:val="32"/>
        </w:rPr>
        <w:t>依法</w:t>
      </w:r>
      <w:r w:rsidRPr="00BC07D5">
        <w:rPr>
          <w:rFonts w:ascii="仿宋" w:eastAsia="仿宋" w:hAnsi="仿宋" w:cs="Times New Roman" w:hint="eastAsia"/>
          <w:color w:val="000000"/>
          <w:sz w:val="32"/>
          <w:szCs w:val="32"/>
        </w:rPr>
        <w:t>追究</w:t>
      </w:r>
      <w:r w:rsidRPr="00BC07D5">
        <w:rPr>
          <w:rFonts w:ascii="仿宋" w:eastAsia="仿宋" w:hAnsi="仿宋" w:cs="Times New Roman"/>
          <w:color w:val="000000"/>
          <w:sz w:val="32"/>
          <w:szCs w:val="32"/>
        </w:rPr>
        <w:t>刑事</w:t>
      </w:r>
      <w:r w:rsidRPr="00BC07D5">
        <w:rPr>
          <w:rFonts w:ascii="仿宋" w:eastAsia="仿宋" w:hAnsi="仿宋" w:cs="Times New Roman"/>
          <w:color w:val="000000"/>
          <w:sz w:val="32"/>
          <w:szCs w:val="32"/>
        </w:rPr>
        <w:t>责任。</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附属金融机构违反本办法规定的，中国人民银行应当将发现的线索、证据移交国务院金融监督管理机构依法采取措施。</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第四十</w:t>
      </w:r>
      <w:r w:rsidRPr="00BC07D5">
        <w:rPr>
          <w:rFonts w:ascii="仿宋" w:eastAsia="仿宋" w:hAnsi="仿宋" w:cs="Times New Roman"/>
          <w:color w:val="000000"/>
          <w:sz w:val="32"/>
          <w:szCs w:val="32"/>
        </w:rPr>
        <w:t>二</w:t>
      </w:r>
      <w:r w:rsidRPr="00BC07D5">
        <w:rPr>
          <w:rFonts w:ascii="仿宋" w:eastAsia="仿宋" w:hAnsi="仿宋" w:cs="Times New Roman" w:hint="eastAsia"/>
          <w:color w:val="000000"/>
          <w:sz w:val="32"/>
          <w:szCs w:val="32"/>
        </w:rPr>
        <w:t>条【董监高违规】</w:t>
      </w:r>
      <w:r w:rsidRPr="00BC07D5">
        <w:rPr>
          <w:rFonts w:ascii="仿宋" w:eastAsia="仿宋" w:hAnsi="仿宋" w:cs="Times New Roman"/>
          <w:color w:val="000000"/>
          <w:sz w:val="32"/>
          <w:szCs w:val="32"/>
        </w:rPr>
        <w:t>金融控股公司董事、监事、高级管理人员或</w:t>
      </w:r>
      <w:r w:rsidRPr="00BC07D5">
        <w:rPr>
          <w:rFonts w:ascii="仿宋" w:eastAsia="仿宋" w:hAnsi="仿宋" w:cs="Times New Roman" w:hint="eastAsia"/>
          <w:color w:val="000000"/>
          <w:sz w:val="32"/>
          <w:szCs w:val="32"/>
        </w:rPr>
        <w:t>其他</w:t>
      </w:r>
      <w:r w:rsidRPr="00BC07D5">
        <w:rPr>
          <w:rFonts w:ascii="仿宋" w:eastAsia="仿宋" w:hAnsi="仿宋" w:cs="Times New Roman"/>
          <w:color w:val="000000"/>
          <w:sz w:val="32"/>
          <w:szCs w:val="32"/>
        </w:rPr>
        <w:t>相关人员违反本办法规定的，中国人民银行可以要求其限期整改；逾期未改正的，中国人民银行可以</w:t>
      </w:r>
      <w:r w:rsidRPr="00BC07D5">
        <w:rPr>
          <w:rFonts w:ascii="仿宋" w:eastAsia="仿宋" w:hAnsi="仿宋" w:cs="Times New Roman" w:hint="eastAsia"/>
          <w:color w:val="000000"/>
          <w:sz w:val="32"/>
          <w:szCs w:val="32"/>
        </w:rPr>
        <w:t>采取</w:t>
      </w:r>
      <w:r w:rsidRPr="00BC07D5">
        <w:rPr>
          <w:rFonts w:ascii="仿宋" w:eastAsia="仿宋" w:hAnsi="仿宋" w:cs="Times New Roman"/>
          <w:color w:val="000000"/>
          <w:sz w:val="32"/>
          <w:szCs w:val="32"/>
        </w:rPr>
        <w:t>记入履职记录</w:t>
      </w:r>
      <w:r w:rsidRPr="00BC07D5">
        <w:rPr>
          <w:rFonts w:ascii="仿宋" w:eastAsia="仿宋" w:hAnsi="仿宋" w:cs="Times New Roman" w:hint="eastAsia"/>
          <w:color w:val="000000"/>
          <w:sz w:val="32"/>
          <w:szCs w:val="32"/>
        </w:rPr>
        <w:t>、要求金融控股公司进行问责等措施</w:t>
      </w:r>
      <w:r w:rsidRPr="00BC07D5">
        <w:rPr>
          <w:rFonts w:ascii="仿宋" w:eastAsia="仿宋" w:hAnsi="仿宋" w:cs="Times New Roman"/>
          <w:color w:val="000000"/>
          <w:sz w:val="32"/>
          <w:szCs w:val="32"/>
        </w:rPr>
        <w:t>；情节严重的，中国人民银行可以要求金融控股公司调整董事、监事、高级管理人员或者限制其权利。</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第四十</w:t>
      </w:r>
      <w:r w:rsidRPr="00BC07D5">
        <w:rPr>
          <w:rFonts w:ascii="仿宋" w:eastAsia="仿宋" w:hAnsi="仿宋" w:cs="Times New Roman"/>
          <w:color w:val="000000"/>
          <w:sz w:val="32"/>
          <w:szCs w:val="32"/>
        </w:rPr>
        <w:t>三</w:t>
      </w:r>
      <w:r w:rsidRPr="00BC07D5">
        <w:rPr>
          <w:rFonts w:ascii="仿宋" w:eastAsia="仿宋" w:hAnsi="仿宋" w:cs="Times New Roman" w:hint="eastAsia"/>
          <w:color w:val="000000"/>
          <w:sz w:val="32"/>
          <w:szCs w:val="32"/>
        </w:rPr>
        <w:t>条【股东违规】</w:t>
      </w:r>
      <w:r w:rsidRPr="00BC07D5">
        <w:rPr>
          <w:rFonts w:ascii="仿宋" w:eastAsia="仿宋" w:hAnsi="仿宋" w:cs="Times New Roman"/>
          <w:color w:val="000000"/>
          <w:sz w:val="32"/>
          <w:szCs w:val="32"/>
        </w:rPr>
        <w:t>金融控股公司股东、实际控制</w:t>
      </w:r>
      <w:r w:rsidRPr="00BC07D5">
        <w:rPr>
          <w:rFonts w:ascii="仿宋" w:eastAsia="仿宋" w:hAnsi="仿宋" w:cs="Times New Roman"/>
          <w:color w:val="000000"/>
          <w:sz w:val="32"/>
          <w:szCs w:val="32"/>
        </w:rPr>
        <w:lastRenderedPageBreak/>
        <w:t>人利用关联交易损害金融控股公司利益的，中国人民银行可以要求其限期整改；逾期未改正的，可以要求金融控股公司</w:t>
      </w:r>
      <w:r w:rsidRPr="00BC07D5">
        <w:rPr>
          <w:rFonts w:ascii="仿宋" w:eastAsia="仿宋" w:hAnsi="仿宋" w:cs="Times New Roman" w:hint="eastAsia"/>
          <w:color w:val="000000"/>
          <w:sz w:val="32"/>
          <w:szCs w:val="32"/>
        </w:rPr>
        <w:t>采取</w:t>
      </w:r>
      <w:r w:rsidRPr="00BC07D5">
        <w:rPr>
          <w:rFonts w:ascii="仿宋" w:eastAsia="仿宋" w:hAnsi="仿宋" w:cs="Times New Roman"/>
          <w:color w:val="000000"/>
          <w:sz w:val="32"/>
          <w:szCs w:val="32"/>
        </w:rPr>
        <w:t>限制该股东的权利或者要求其转让股权</w:t>
      </w:r>
      <w:r w:rsidRPr="00BC07D5">
        <w:rPr>
          <w:rFonts w:ascii="仿宋" w:eastAsia="仿宋" w:hAnsi="仿宋" w:cs="Times New Roman" w:hint="eastAsia"/>
          <w:color w:val="000000"/>
          <w:sz w:val="32"/>
          <w:szCs w:val="32"/>
        </w:rPr>
        <w:t>等措施</w:t>
      </w:r>
      <w:r w:rsidRPr="00BC07D5">
        <w:rPr>
          <w:rFonts w:ascii="仿宋" w:eastAsia="仿宋" w:hAnsi="仿宋" w:cs="Times New Roman"/>
          <w:color w:val="000000"/>
          <w:sz w:val="32"/>
          <w:szCs w:val="32"/>
        </w:rPr>
        <w:t>。金融控股公司的其他关联方违反本办法规定的，中国人民银行可以采取</w:t>
      </w:r>
      <w:r w:rsidRPr="00BC07D5">
        <w:rPr>
          <w:rFonts w:ascii="仿宋" w:eastAsia="仿宋" w:hAnsi="仿宋" w:cs="Times New Roman"/>
          <w:color w:val="000000"/>
          <w:sz w:val="32"/>
          <w:szCs w:val="32"/>
        </w:rPr>
        <w:t>通报批评</w:t>
      </w:r>
      <w:r w:rsidRPr="00BC07D5">
        <w:rPr>
          <w:rFonts w:ascii="仿宋" w:eastAsia="仿宋" w:hAnsi="仿宋" w:cs="Times New Roman"/>
          <w:color w:val="000000"/>
          <w:sz w:val="32"/>
          <w:szCs w:val="32"/>
        </w:rPr>
        <w:t>等监管措施。</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第四十</w:t>
      </w:r>
      <w:r w:rsidRPr="00BC07D5">
        <w:rPr>
          <w:rFonts w:ascii="仿宋" w:eastAsia="仿宋" w:hAnsi="仿宋" w:cs="Times New Roman"/>
          <w:color w:val="000000"/>
          <w:sz w:val="32"/>
          <w:szCs w:val="32"/>
        </w:rPr>
        <w:t>四</w:t>
      </w:r>
      <w:r w:rsidRPr="00BC07D5">
        <w:rPr>
          <w:rFonts w:ascii="仿宋" w:eastAsia="仿宋" w:hAnsi="仿宋" w:cs="Times New Roman" w:hint="eastAsia"/>
          <w:color w:val="000000"/>
          <w:sz w:val="32"/>
          <w:szCs w:val="32"/>
        </w:rPr>
        <w:t>条【中介机构违规】</w:t>
      </w:r>
      <w:r w:rsidRPr="00BC07D5">
        <w:rPr>
          <w:rFonts w:ascii="仿宋" w:eastAsia="仿宋" w:hAnsi="仿宋" w:cs="Times New Roman"/>
          <w:color w:val="000000"/>
          <w:sz w:val="32"/>
          <w:szCs w:val="32"/>
        </w:rPr>
        <w:t>会计师事务所、专业评估机构、律师事务所、税务师事务所等服务机构违反诚信及勤勉尽责</w:t>
      </w:r>
      <w:r w:rsidRPr="00BC07D5">
        <w:rPr>
          <w:rFonts w:ascii="仿宋" w:eastAsia="仿宋" w:hAnsi="仿宋" w:cs="Times New Roman"/>
          <w:color w:val="000000"/>
          <w:sz w:val="32"/>
          <w:szCs w:val="32"/>
        </w:rPr>
        <w:t>原则，出具文件存在虚假记载、误导性陈述或重大遗漏，中国人民银行可以将发现的线索、证据移交有关主管部门依法处理。</w:t>
      </w:r>
    </w:p>
    <w:p w:rsidR="00093110" w:rsidRPr="00BC07D5" w:rsidRDefault="00093110">
      <w:pPr>
        <w:ind w:firstLineChars="200" w:firstLine="640"/>
        <w:rPr>
          <w:rFonts w:ascii="仿宋" w:eastAsia="仿宋" w:hAnsi="仿宋" w:cs="Times New Roman"/>
          <w:color w:val="000000"/>
          <w:sz w:val="32"/>
          <w:szCs w:val="32"/>
        </w:rPr>
      </w:pPr>
    </w:p>
    <w:p w:rsidR="00093110" w:rsidRPr="00BC07D5" w:rsidRDefault="00093110">
      <w:pPr>
        <w:ind w:firstLineChars="200" w:firstLine="640"/>
        <w:rPr>
          <w:rFonts w:ascii="仿宋" w:eastAsia="仿宋" w:hAnsi="仿宋" w:cs="Times New Roman"/>
          <w:color w:val="000000"/>
          <w:sz w:val="32"/>
          <w:szCs w:val="32"/>
        </w:rPr>
      </w:pPr>
    </w:p>
    <w:p w:rsidR="00093110" w:rsidRPr="001E566B" w:rsidRDefault="00550CEA">
      <w:pPr>
        <w:jc w:val="center"/>
        <w:rPr>
          <w:rFonts w:ascii="仿宋" w:eastAsia="仿宋" w:hAnsi="仿宋" w:cs="Times New Roman"/>
          <w:b/>
          <w:color w:val="000000"/>
          <w:sz w:val="32"/>
          <w:szCs w:val="32"/>
        </w:rPr>
      </w:pPr>
      <w:r w:rsidRPr="001E566B">
        <w:rPr>
          <w:rFonts w:ascii="仿宋" w:eastAsia="仿宋" w:hAnsi="仿宋" w:cs="Times New Roman"/>
          <w:b/>
          <w:color w:val="000000"/>
          <w:sz w:val="32"/>
          <w:szCs w:val="32"/>
        </w:rPr>
        <w:t>第</w:t>
      </w:r>
      <w:r w:rsidRPr="001E566B">
        <w:rPr>
          <w:rFonts w:ascii="仿宋" w:eastAsia="仿宋" w:hAnsi="仿宋" w:cs="Times New Roman"/>
          <w:b/>
          <w:color w:val="000000"/>
          <w:sz w:val="32"/>
          <w:szCs w:val="32"/>
        </w:rPr>
        <w:t>七</w:t>
      </w:r>
      <w:r w:rsidRPr="001E566B">
        <w:rPr>
          <w:rFonts w:ascii="仿宋" w:eastAsia="仿宋" w:hAnsi="仿宋" w:cs="Times New Roman"/>
          <w:b/>
          <w:color w:val="000000"/>
          <w:sz w:val="32"/>
          <w:szCs w:val="32"/>
        </w:rPr>
        <w:t>章</w:t>
      </w:r>
      <w:r w:rsidRPr="001E566B">
        <w:rPr>
          <w:rFonts w:ascii="仿宋" w:eastAsia="仿宋" w:hAnsi="仿宋" w:cs="Times New Roman"/>
          <w:b/>
          <w:color w:val="000000"/>
          <w:sz w:val="32"/>
          <w:szCs w:val="32"/>
        </w:rPr>
        <w:t xml:space="preserve"> </w:t>
      </w:r>
      <w:r w:rsidRPr="001E566B">
        <w:rPr>
          <w:rFonts w:ascii="仿宋" w:eastAsia="仿宋" w:hAnsi="仿宋" w:cs="Times New Roman"/>
          <w:b/>
          <w:color w:val="000000"/>
          <w:sz w:val="32"/>
          <w:szCs w:val="32"/>
        </w:rPr>
        <w:t>附则</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w:t>
      </w:r>
      <w:r w:rsidRPr="00BC07D5">
        <w:rPr>
          <w:rFonts w:ascii="仿宋" w:eastAsia="仿宋" w:hAnsi="仿宋" w:cs="Times New Roman" w:hint="eastAsia"/>
          <w:color w:val="000000"/>
          <w:sz w:val="32"/>
          <w:szCs w:val="32"/>
        </w:rPr>
        <w:t>四十五</w:t>
      </w:r>
      <w:r w:rsidRPr="00BC07D5">
        <w:rPr>
          <w:rFonts w:ascii="仿宋" w:eastAsia="仿宋" w:hAnsi="仿宋" w:cs="Times New Roman"/>
          <w:color w:val="000000"/>
          <w:sz w:val="32"/>
          <w:szCs w:val="32"/>
        </w:rPr>
        <w:t>条</w:t>
      </w:r>
      <w:r w:rsidRPr="00BC07D5">
        <w:rPr>
          <w:rFonts w:ascii="仿宋" w:eastAsia="仿宋" w:hAnsi="仿宋" w:cs="Times New Roman" w:hint="eastAsia"/>
          <w:color w:val="000000"/>
          <w:sz w:val="32"/>
          <w:szCs w:val="32"/>
        </w:rPr>
        <w:t>【名词解释】本办法所称控股股东，是指其出资额占金融控股公司资本总额</w:t>
      </w:r>
      <w:r w:rsidRPr="00BC07D5">
        <w:rPr>
          <w:rFonts w:ascii="仿宋" w:eastAsia="仿宋" w:hAnsi="仿宋" w:cs="Times New Roman" w:hint="eastAsia"/>
          <w:color w:val="000000"/>
          <w:sz w:val="32"/>
          <w:szCs w:val="32"/>
        </w:rPr>
        <w:t>50%</w:t>
      </w:r>
      <w:r w:rsidRPr="00BC07D5">
        <w:rPr>
          <w:rFonts w:ascii="仿宋" w:eastAsia="仿宋" w:hAnsi="仿宋" w:cs="Times New Roman" w:hint="eastAsia"/>
          <w:color w:val="000000"/>
          <w:sz w:val="32"/>
          <w:szCs w:val="32"/>
        </w:rPr>
        <w:t>以上或其持有的股份占金融控股公司股本总额</w:t>
      </w:r>
      <w:r w:rsidRPr="00BC07D5">
        <w:rPr>
          <w:rFonts w:ascii="仿宋" w:eastAsia="仿宋" w:hAnsi="仿宋" w:cs="Times New Roman" w:hint="eastAsia"/>
          <w:color w:val="000000"/>
          <w:sz w:val="32"/>
          <w:szCs w:val="32"/>
        </w:rPr>
        <w:t>50%</w:t>
      </w:r>
      <w:r w:rsidRPr="00BC07D5">
        <w:rPr>
          <w:rFonts w:ascii="仿宋" w:eastAsia="仿宋" w:hAnsi="仿宋" w:cs="Times New Roman" w:hint="eastAsia"/>
          <w:color w:val="000000"/>
          <w:sz w:val="32"/>
          <w:szCs w:val="32"/>
        </w:rPr>
        <w:t>以上的股东；出资额或持有股份的比例虽不足</w:t>
      </w:r>
      <w:r w:rsidRPr="00BC07D5">
        <w:rPr>
          <w:rFonts w:ascii="仿宋" w:eastAsia="仿宋" w:hAnsi="仿宋" w:cs="Times New Roman" w:hint="eastAsia"/>
          <w:color w:val="000000"/>
          <w:sz w:val="32"/>
          <w:szCs w:val="32"/>
        </w:rPr>
        <w:t>50%</w:t>
      </w:r>
      <w:r w:rsidRPr="00BC07D5">
        <w:rPr>
          <w:rFonts w:ascii="仿宋" w:eastAsia="仿宋" w:hAnsi="仿宋" w:cs="Times New Roman" w:hint="eastAsia"/>
          <w:color w:val="000000"/>
          <w:sz w:val="32"/>
          <w:szCs w:val="32"/>
        </w:rPr>
        <w:t>，但依其出资额或持有的股份所享有的表决权已足以对股东会、股东大会的决议产生</w:t>
      </w:r>
      <w:r w:rsidRPr="00BC07D5">
        <w:rPr>
          <w:rFonts w:ascii="仿宋" w:eastAsia="仿宋" w:hAnsi="仿宋" w:cs="Times New Roman"/>
          <w:color w:val="000000"/>
          <w:sz w:val="32"/>
          <w:szCs w:val="32"/>
        </w:rPr>
        <w:t>控制性</w:t>
      </w:r>
      <w:r w:rsidRPr="00BC07D5">
        <w:rPr>
          <w:rFonts w:ascii="仿宋" w:eastAsia="仿宋" w:hAnsi="仿宋" w:cs="Times New Roman" w:hint="eastAsia"/>
          <w:color w:val="000000"/>
          <w:sz w:val="32"/>
          <w:szCs w:val="32"/>
        </w:rPr>
        <w:t>影响或能够实际支配公司行为的股东。</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实际控制人，是指通过投资关系、协议或其他安排，能够实际支配公司行为的人。一致行动人，是指通过协议、合作或其他途径，在行使表决权或参与其他经济活动时采取相</w:t>
      </w:r>
      <w:r w:rsidRPr="00BC07D5">
        <w:rPr>
          <w:rFonts w:ascii="仿宋" w:eastAsia="仿宋" w:hAnsi="仿宋" w:cs="Times New Roman" w:hint="eastAsia"/>
          <w:color w:val="000000"/>
          <w:sz w:val="32"/>
          <w:szCs w:val="32"/>
        </w:rPr>
        <w:lastRenderedPageBreak/>
        <w:t>同意思表示的自然人、法人或非法人组织。</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主要股东是指持有或控制金融控股公司股份总额</w:t>
      </w:r>
      <w:r w:rsidRPr="00BC07D5">
        <w:rPr>
          <w:rFonts w:ascii="仿宋" w:eastAsia="仿宋" w:hAnsi="仿宋" w:cs="Times New Roman" w:hint="eastAsia"/>
          <w:color w:val="000000"/>
          <w:sz w:val="32"/>
          <w:szCs w:val="32"/>
        </w:rPr>
        <w:t>5%</w:t>
      </w:r>
      <w:r w:rsidRPr="00BC07D5">
        <w:rPr>
          <w:rFonts w:ascii="仿宋" w:eastAsia="仿宋" w:hAnsi="仿宋" w:cs="Times New Roman" w:hint="eastAsia"/>
          <w:color w:val="000000"/>
          <w:sz w:val="32"/>
          <w:szCs w:val="32"/>
        </w:rPr>
        <w:t>以上股份或表决权，或持有股份总额不足</w:t>
      </w:r>
      <w:r w:rsidRPr="00BC07D5">
        <w:rPr>
          <w:rFonts w:ascii="仿宋" w:eastAsia="仿宋" w:hAnsi="仿宋" w:cs="Times New Roman" w:hint="eastAsia"/>
          <w:color w:val="000000"/>
          <w:sz w:val="32"/>
          <w:szCs w:val="32"/>
        </w:rPr>
        <w:t>5%</w:t>
      </w:r>
      <w:r w:rsidRPr="00BC07D5">
        <w:rPr>
          <w:rFonts w:ascii="仿宋" w:eastAsia="仿宋" w:hAnsi="仿宋" w:cs="Times New Roman" w:hint="eastAsia"/>
          <w:color w:val="000000"/>
          <w:sz w:val="32"/>
          <w:szCs w:val="32"/>
        </w:rPr>
        <w:t>但对金融控股公司经营管理有重大影响的股东。</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其他关系密切的家庭成员，是指除配偶、父母、成年子女及兄弟姐妹以外的包括配偶的父母、子女的配偶、兄弟姐妹的配偶、配偶的兄弟姐妹以及其他可能产生利益转移的家庭成员。</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控制，包括直接控制、间接控制</w:t>
      </w:r>
      <w:r w:rsidRPr="00BC07D5">
        <w:rPr>
          <w:rFonts w:ascii="仿宋" w:eastAsia="仿宋" w:hAnsi="仿宋" w:cs="Times New Roman" w:hint="eastAsia"/>
          <w:color w:val="000000"/>
          <w:sz w:val="32"/>
          <w:szCs w:val="32"/>
        </w:rPr>
        <w:t>，是指有权决定一个企业的财务和经营决策，并能据以从该企业的经营活动中获取利益。重大影响，是指对法人或组织的财务和经营政策有参与决策的权力，但并不能够控制或者与其他方一起共同控制这些政策的制定。</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关联方</w:t>
      </w:r>
      <w:r w:rsidRPr="00BC07D5">
        <w:rPr>
          <w:rFonts w:ascii="仿宋" w:eastAsia="仿宋" w:hAnsi="仿宋" w:cs="Times New Roman"/>
          <w:color w:val="000000"/>
          <w:sz w:val="32"/>
          <w:szCs w:val="32"/>
        </w:rPr>
        <w:t>不包括国家行政机关、政府部门，中央汇金投资有限责任公司，全国社保基金理事会，梧桐树投资平台有限责任公司，以及</w:t>
      </w:r>
      <w:r w:rsidRPr="00BC07D5">
        <w:rPr>
          <w:rFonts w:ascii="仿宋" w:eastAsia="仿宋" w:hAnsi="仿宋" w:cs="Times New Roman" w:hint="eastAsia"/>
          <w:color w:val="000000"/>
          <w:sz w:val="32"/>
          <w:szCs w:val="32"/>
        </w:rPr>
        <w:t>依据法律、行政法规等</w:t>
      </w:r>
      <w:r w:rsidRPr="00BC07D5">
        <w:rPr>
          <w:rFonts w:ascii="仿宋" w:eastAsia="仿宋" w:hAnsi="仿宋" w:cs="Times New Roman"/>
          <w:color w:val="000000"/>
          <w:sz w:val="32"/>
          <w:szCs w:val="32"/>
        </w:rPr>
        <w:t>豁免认定的关联方。国家控股的企业之间不因为仅同受国家控股而构成关联方。</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关联董事</w:t>
      </w:r>
      <w:r w:rsidRPr="00BC07D5">
        <w:rPr>
          <w:rFonts w:ascii="仿宋" w:eastAsia="仿宋" w:hAnsi="仿宋" w:cs="Times New Roman"/>
          <w:color w:val="000000"/>
          <w:sz w:val="32"/>
          <w:szCs w:val="32"/>
        </w:rPr>
        <w:t>、股东</w:t>
      </w:r>
      <w:r w:rsidRPr="00BC07D5">
        <w:rPr>
          <w:rFonts w:ascii="仿宋" w:eastAsia="仿宋" w:hAnsi="仿宋" w:cs="Times New Roman" w:hint="eastAsia"/>
          <w:color w:val="000000"/>
          <w:sz w:val="32"/>
          <w:szCs w:val="32"/>
        </w:rPr>
        <w:t>，是指交易的一方，或者在审议关联交易时可能影响该交易公允性的董事、股东。</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受监管实体是指受到国务院金融管理部门或者境外金融监管当局监管的机构。</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“以上”含本数，年度为会计年度。</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lastRenderedPageBreak/>
        <w:t>第四十六条【过渡期安排】金融控股公司应当</w:t>
      </w:r>
      <w:r w:rsidRPr="00BC07D5">
        <w:rPr>
          <w:rFonts w:ascii="仿宋" w:eastAsia="仿宋" w:hAnsi="仿宋" w:cs="Times New Roman"/>
          <w:color w:val="000000"/>
          <w:sz w:val="32"/>
          <w:szCs w:val="32"/>
        </w:rPr>
        <w:t>在</w:t>
      </w:r>
      <w:r w:rsidRPr="00BC07D5">
        <w:rPr>
          <w:rFonts w:ascii="仿宋" w:eastAsia="仿宋" w:hAnsi="仿宋" w:cs="Times New Roman" w:hint="eastAsia"/>
          <w:color w:val="000000"/>
          <w:sz w:val="32"/>
          <w:szCs w:val="32"/>
        </w:rPr>
        <w:t>本办法施行之日起</w:t>
      </w:r>
      <w:r w:rsidRPr="00BC07D5">
        <w:rPr>
          <w:rFonts w:ascii="仿宋" w:eastAsia="仿宋" w:hAnsi="仿宋" w:cs="Times New Roman"/>
          <w:color w:val="000000"/>
          <w:sz w:val="32"/>
          <w:szCs w:val="32"/>
        </w:rPr>
        <w:t>一年</w:t>
      </w:r>
      <w:r w:rsidRPr="00BC07D5">
        <w:rPr>
          <w:rFonts w:ascii="仿宋" w:eastAsia="仿宋" w:hAnsi="仿宋" w:cs="Times New Roman" w:hint="eastAsia"/>
          <w:color w:val="000000"/>
          <w:sz w:val="32"/>
          <w:szCs w:val="32"/>
        </w:rPr>
        <w:t>内完善各项制度和治理架构，稳妥有序落实本办法有关要求，确保</w:t>
      </w:r>
      <w:r w:rsidRPr="00BC07D5">
        <w:rPr>
          <w:rFonts w:ascii="仿宋" w:eastAsia="仿宋" w:hAnsi="仿宋" w:cs="Times New Roman"/>
          <w:color w:val="000000"/>
          <w:sz w:val="32"/>
          <w:szCs w:val="32"/>
        </w:rPr>
        <w:t>过渡期满</w:t>
      </w:r>
      <w:r w:rsidRPr="00BC07D5">
        <w:rPr>
          <w:rFonts w:ascii="仿宋" w:eastAsia="仿宋" w:hAnsi="仿宋" w:cs="Times New Roman" w:hint="eastAsia"/>
          <w:color w:val="000000"/>
          <w:sz w:val="32"/>
          <w:szCs w:val="32"/>
        </w:rPr>
        <w:t>关联交易管理合规。</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hint="eastAsia"/>
          <w:color w:val="000000"/>
          <w:sz w:val="32"/>
          <w:szCs w:val="32"/>
        </w:rPr>
        <w:t>第四十七条【解释部门】</w:t>
      </w:r>
      <w:r w:rsidRPr="00BC07D5">
        <w:rPr>
          <w:rFonts w:ascii="仿宋" w:eastAsia="仿宋" w:hAnsi="仿宋" w:cs="Times New Roman"/>
          <w:color w:val="000000"/>
          <w:sz w:val="32"/>
          <w:szCs w:val="32"/>
        </w:rPr>
        <w:t>本办法由中国人民银行负责解释。</w:t>
      </w:r>
    </w:p>
    <w:p w:rsidR="00093110" w:rsidRPr="00BC07D5" w:rsidRDefault="00550CEA">
      <w:pPr>
        <w:ind w:firstLineChars="200" w:firstLine="640"/>
        <w:rPr>
          <w:rFonts w:ascii="仿宋" w:eastAsia="仿宋" w:hAnsi="仿宋" w:cs="Times New Roman"/>
          <w:color w:val="000000"/>
          <w:sz w:val="32"/>
          <w:szCs w:val="32"/>
        </w:rPr>
      </w:pPr>
      <w:r w:rsidRPr="00BC07D5">
        <w:rPr>
          <w:rFonts w:ascii="仿宋" w:eastAsia="仿宋" w:hAnsi="仿宋" w:cs="Times New Roman"/>
          <w:color w:val="000000"/>
          <w:sz w:val="32"/>
          <w:szCs w:val="32"/>
        </w:rPr>
        <w:t>第</w:t>
      </w:r>
      <w:r w:rsidRPr="00BC07D5">
        <w:rPr>
          <w:rFonts w:ascii="仿宋" w:eastAsia="仿宋" w:hAnsi="仿宋" w:cs="Times New Roman" w:hint="eastAsia"/>
          <w:color w:val="000000"/>
          <w:sz w:val="32"/>
          <w:szCs w:val="32"/>
        </w:rPr>
        <w:t>四十八条【实施期】</w:t>
      </w:r>
      <w:r w:rsidRPr="00BC07D5">
        <w:rPr>
          <w:rFonts w:ascii="仿宋" w:eastAsia="仿宋" w:hAnsi="仿宋" w:cs="Times New Roman"/>
          <w:color w:val="000000"/>
          <w:sz w:val="32"/>
          <w:szCs w:val="32"/>
        </w:rPr>
        <w:t>本办法自</w:t>
      </w:r>
      <w:r w:rsidRPr="00BC07D5">
        <w:rPr>
          <w:rFonts w:ascii="仿宋" w:eastAsia="仿宋" w:hAnsi="仿宋" w:cs="Times New Roman"/>
          <w:color w:val="000000"/>
          <w:sz w:val="32"/>
          <w:szCs w:val="32"/>
        </w:rPr>
        <w:t xml:space="preserve">  </w:t>
      </w:r>
      <w:r w:rsidRPr="00BC07D5">
        <w:rPr>
          <w:rFonts w:ascii="仿宋" w:eastAsia="仿宋" w:hAnsi="仿宋" w:cs="Times New Roman"/>
          <w:color w:val="000000"/>
          <w:sz w:val="32"/>
          <w:szCs w:val="32"/>
        </w:rPr>
        <w:t>年</w:t>
      </w:r>
      <w:r w:rsidRPr="00BC07D5">
        <w:rPr>
          <w:rFonts w:ascii="仿宋" w:eastAsia="仿宋" w:hAnsi="仿宋" w:cs="Times New Roman"/>
          <w:color w:val="000000"/>
          <w:sz w:val="32"/>
          <w:szCs w:val="32"/>
        </w:rPr>
        <w:t xml:space="preserve">  </w:t>
      </w:r>
      <w:r w:rsidRPr="00BC07D5">
        <w:rPr>
          <w:rFonts w:ascii="仿宋" w:eastAsia="仿宋" w:hAnsi="仿宋" w:cs="Times New Roman"/>
          <w:color w:val="000000"/>
          <w:sz w:val="32"/>
          <w:szCs w:val="32"/>
        </w:rPr>
        <w:t>月</w:t>
      </w:r>
      <w:r w:rsidRPr="00BC07D5">
        <w:rPr>
          <w:rFonts w:ascii="仿宋" w:eastAsia="仿宋" w:hAnsi="仿宋" w:cs="Times New Roman"/>
          <w:color w:val="000000"/>
          <w:sz w:val="32"/>
          <w:szCs w:val="32"/>
        </w:rPr>
        <w:t xml:space="preserve">  </w:t>
      </w:r>
      <w:r w:rsidRPr="00BC07D5">
        <w:rPr>
          <w:rFonts w:ascii="仿宋" w:eastAsia="仿宋" w:hAnsi="仿宋" w:cs="Times New Roman"/>
          <w:color w:val="000000"/>
          <w:sz w:val="32"/>
          <w:szCs w:val="32"/>
        </w:rPr>
        <w:t>日起施行</w:t>
      </w:r>
      <w:r w:rsidRPr="00BC07D5">
        <w:rPr>
          <w:rFonts w:ascii="仿宋" w:eastAsia="仿宋" w:hAnsi="仿宋" w:cs="Times New Roman" w:hint="eastAsia"/>
          <w:color w:val="000000"/>
          <w:sz w:val="32"/>
          <w:szCs w:val="32"/>
        </w:rPr>
        <w:t>。</w:t>
      </w:r>
    </w:p>
    <w:sectPr w:rsidR="00093110" w:rsidRPr="00BC07D5">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CEA" w:rsidRDefault="00550CEA">
      <w:r>
        <w:separator/>
      </w:r>
    </w:p>
  </w:endnote>
  <w:endnote w:type="continuationSeparator" w:id="0">
    <w:p w:rsidR="00550CEA" w:rsidRDefault="0055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110" w:rsidRDefault="00550CEA">
    <w:pPr>
      <w:pStyle w:val="a5"/>
      <w:jc w:val="center"/>
    </w:pPr>
    <w:r>
      <w:fldChar w:fldCharType="begin"/>
    </w:r>
    <w:r>
      <w:instrText xml:space="preserve">PAGE </w:instrText>
    </w:r>
    <w:r>
      <w:instrText xml:space="preserve">  \* MERGEFORMAT</w:instrText>
    </w:r>
    <w:r>
      <w:fldChar w:fldCharType="separate"/>
    </w:r>
    <w:r w:rsidR="00BF17A7">
      <w:rPr>
        <w:noProof/>
      </w:rPr>
      <w:t>23</w:t>
    </w:r>
    <w:r>
      <w:fldChar w:fldCharType="end"/>
    </w:r>
  </w:p>
  <w:p w:rsidR="00093110" w:rsidRDefault="000931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CEA" w:rsidRDefault="00550CEA">
      <w:r>
        <w:separator/>
      </w:r>
    </w:p>
  </w:footnote>
  <w:footnote w:type="continuationSeparator" w:id="0">
    <w:p w:rsidR="00550CEA" w:rsidRDefault="00550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F27D03"/>
    <w:rsid w:val="873BF697"/>
    <w:rsid w:val="977BC57A"/>
    <w:rsid w:val="97EE27FA"/>
    <w:rsid w:val="9B9EDB45"/>
    <w:rsid w:val="9E76CA7F"/>
    <w:rsid w:val="9FD7F9AF"/>
    <w:rsid w:val="A8FFDCDE"/>
    <w:rsid w:val="ACDA54DC"/>
    <w:rsid w:val="AEBB534A"/>
    <w:rsid w:val="B07FD555"/>
    <w:rsid w:val="B3DFC482"/>
    <w:rsid w:val="B4FF51CD"/>
    <w:rsid w:val="B6FDDB16"/>
    <w:rsid w:val="B7FD8F38"/>
    <w:rsid w:val="B86DC249"/>
    <w:rsid w:val="BAEC2C96"/>
    <w:rsid w:val="BCFD8963"/>
    <w:rsid w:val="BD7DDC25"/>
    <w:rsid w:val="BDFD5ABD"/>
    <w:rsid w:val="BEDC12D3"/>
    <w:rsid w:val="BFDF25EE"/>
    <w:rsid w:val="BFFDEAAA"/>
    <w:rsid w:val="BFFF478A"/>
    <w:rsid w:val="CEE7FB60"/>
    <w:rsid w:val="CFB7A257"/>
    <w:rsid w:val="CFBD9FA0"/>
    <w:rsid w:val="D77FC7E0"/>
    <w:rsid w:val="D7CFD288"/>
    <w:rsid w:val="D9574CF1"/>
    <w:rsid w:val="DDFBA68E"/>
    <w:rsid w:val="DF7B4043"/>
    <w:rsid w:val="DF7DAF88"/>
    <w:rsid w:val="DFABBD93"/>
    <w:rsid w:val="DFFBD62B"/>
    <w:rsid w:val="E8FF7458"/>
    <w:rsid w:val="EAFFAFE5"/>
    <w:rsid w:val="EBB65573"/>
    <w:rsid w:val="EC4A11B8"/>
    <w:rsid w:val="ECED5735"/>
    <w:rsid w:val="EF3FBCA4"/>
    <w:rsid w:val="EFBF5463"/>
    <w:rsid w:val="EFF2F034"/>
    <w:rsid w:val="F1D9C851"/>
    <w:rsid w:val="F66F3236"/>
    <w:rsid w:val="F7EF075B"/>
    <w:rsid w:val="FA1563FD"/>
    <w:rsid w:val="FAFDBF8B"/>
    <w:rsid w:val="FB5B7527"/>
    <w:rsid w:val="FB5F00DB"/>
    <w:rsid w:val="FB7F1B25"/>
    <w:rsid w:val="FCF9DC6B"/>
    <w:rsid w:val="FDB70943"/>
    <w:rsid w:val="FDBFCF21"/>
    <w:rsid w:val="FDE62554"/>
    <w:rsid w:val="FDFF5974"/>
    <w:rsid w:val="FE3C6612"/>
    <w:rsid w:val="FEDF6E37"/>
    <w:rsid w:val="FEDF7CC6"/>
    <w:rsid w:val="FF7B610F"/>
    <w:rsid w:val="FFBFA0AC"/>
    <w:rsid w:val="FFF6E93E"/>
    <w:rsid w:val="00000FA0"/>
    <w:rsid w:val="00002015"/>
    <w:rsid w:val="00003FDE"/>
    <w:rsid w:val="00005E8C"/>
    <w:rsid w:val="00006144"/>
    <w:rsid w:val="00007F7E"/>
    <w:rsid w:val="00011632"/>
    <w:rsid w:val="00012D75"/>
    <w:rsid w:val="000158C5"/>
    <w:rsid w:val="00016FB1"/>
    <w:rsid w:val="00016FE3"/>
    <w:rsid w:val="00020139"/>
    <w:rsid w:val="00020D5A"/>
    <w:rsid w:val="000240D1"/>
    <w:rsid w:val="00025C72"/>
    <w:rsid w:val="00026872"/>
    <w:rsid w:val="00032F80"/>
    <w:rsid w:val="00034F53"/>
    <w:rsid w:val="00035CA8"/>
    <w:rsid w:val="00036154"/>
    <w:rsid w:val="00036E2E"/>
    <w:rsid w:val="000409B0"/>
    <w:rsid w:val="00042EFD"/>
    <w:rsid w:val="00045244"/>
    <w:rsid w:val="00046B25"/>
    <w:rsid w:val="000478D8"/>
    <w:rsid w:val="00053573"/>
    <w:rsid w:val="00053EAA"/>
    <w:rsid w:val="000579F9"/>
    <w:rsid w:val="0006063E"/>
    <w:rsid w:val="00060BBB"/>
    <w:rsid w:val="000614AC"/>
    <w:rsid w:val="0006206F"/>
    <w:rsid w:val="00063024"/>
    <w:rsid w:val="0006326F"/>
    <w:rsid w:val="00064079"/>
    <w:rsid w:val="00072FFC"/>
    <w:rsid w:val="00073C62"/>
    <w:rsid w:val="00074517"/>
    <w:rsid w:val="000761F2"/>
    <w:rsid w:val="00076CB4"/>
    <w:rsid w:val="00080994"/>
    <w:rsid w:val="00081849"/>
    <w:rsid w:val="00081F5A"/>
    <w:rsid w:val="0008374D"/>
    <w:rsid w:val="0008765E"/>
    <w:rsid w:val="00090008"/>
    <w:rsid w:val="000907B9"/>
    <w:rsid w:val="00092A95"/>
    <w:rsid w:val="00093110"/>
    <w:rsid w:val="000958B3"/>
    <w:rsid w:val="00097075"/>
    <w:rsid w:val="000A07BF"/>
    <w:rsid w:val="000A250E"/>
    <w:rsid w:val="000A2ACA"/>
    <w:rsid w:val="000A3570"/>
    <w:rsid w:val="000A3D4A"/>
    <w:rsid w:val="000A48ED"/>
    <w:rsid w:val="000A4E89"/>
    <w:rsid w:val="000A5FAE"/>
    <w:rsid w:val="000B09C9"/>
    <w:rsid w:val="000B4B45"/>
    <w:rsid w:val="000B5C1C"/>
    <w:rsid w:val="000B668E"/>
    <w:rsid w:val="000C033F"/>
    <w:rsid w:val="000C1E3C"/>
    <w:rsid w:val="000C255B"/>
    <w:rsid w:val="000C56AE"/>
    <w:rsid w:val="000C6B52"/>
    <w:rsid w:val="000C6DA8"/>
    <w:rsid w:val="000C7B62"/>
    <w:rsid w:val="000C7B99"/>
    <w:rsid w:val="000D0743"/>
    <w:rsid w:val="000D1B97"/>
    <w:rsid w:val="000D3F69"/>
    <w:rsid w:val="000D6059"/>
    <w:rsid w:val="000D62C5"/>
    <w:rsid w:val="000D6722"/>
    <w:rsid w:val="000E2027"/>
    <w:rsid w:val="000E21F5"/>
    <w:rsid w:val="000E5ED2"/>
    <w:rsid w:val="000E6CD6"/>
    <w:rsid w:val="000E7749"/>
    <w:rsid w:val="000E79AC"/>
    <w:rsid w:val="000E7EDC"/>
    <w:rsid w:val="000F1480"/>
    <w:rsid w:val="000F22ED"/>
    <w:rsid w:val="000F480C"/>
    <w:rsid w:val="000F58B4"/>
    <w:rsid w:val="000F5D2A"/>
    <w:rsid w:val="000F740D"/>
    <w:rsid w:val="00100390"/>
    <w:rsid w:val="00100B7B"/>
    <w:rsid w:val="0010124F"/>
    <w:rsid w:val="0010200A"/>
    <w:rsid w:val="0010332E"/>
    <w:rsid w:val="00104467"/>
    <w:rsid w:val="00104EBE"/>
    <w:rsid w:val="00105C1B"/>
    <w:rsid w:val="001065E7"/>
    <w:rsid w:val="0011164C"/>
    <w:rsid w:val="00111B68"/>
    <w:rsid w:val="00113A2F"/>
    <w:rsid w:val="00113ACE"/>
    <w:rsid w:val="0011746A"/>
    <w:rsid w:val="00121928"/>
    <w:rsid w:val="00121A38"/>
    <w:rsid w:val="00125984"/>
    <w:rsid w:val="001262CD"/>
    <w:rsid w:val="00126CC1"/>
    <w:rsid w:val="001300F7"/>
    <w:rsid w:val="00130D3C"/>
    <w:rsid w:val="00130EE4"/>
    <w:rsid w:val="00136A1F"/>
    <w:rsid w:val="00140CEC"/>
    <w:rsid w:val="00142992"/>
    <w:rsid w:val="00143A83"/>
    <w:rsid w:val="001469A8"/>
    <w:rsid w:val="001534E4"/>
    <w:rsid w:val="00154208"/>
    <w:rsid w:val="00154F64"/>
    <w:rsid w:val="00157693"/>
    <w:rsid w:val="00157E9D"/>
    <w:rsid w:val="00161444"/>
    <w:rsid w:val="001616E7"/>
    <w:rsid w:val="001625D8"/>
    <w:rsid w:val="00165D73"/>
    <w:rsid w:val="0016647D"/>
    <w:rsid w:val="00166FC9"/>
    <w:rsid w:val="00171DCC"/>
    <w:rsid w:val="00172629"/>
    <w:rsid w:val="00175FBC"/>
    <w:rsid w:val="001761D2"/>
    <w:rsid w:val="001766A0"/>
    <w:rsid w:val="001808B8"/>
    <w:rsid w:val="00180DA7"/>
    <w:rsid w:val="001813E1"/>
    <w:rsid w:val="00183943"/>
    <w:rsid w:val="0018448C"/>
    <w:rsid w:val="00185DD5"/>
    <w:rsid w:val="00186BB1"/>
    <w:rsid w:val="00190BD1"/>
    <w:rsid w:val="0019389A"/>
    <w:rsid w:val="00195692"/>
    <w:rsid w:val="00197653"/>
    <w:rsid w:val="001A1444"/>
    <w:rsid w:val="001A26AE"/>
    <w:rsid w:val="001A477F"/>
    <w:rsid w:val="001A5C8D"/>
    <w:rsid w:val="001A62C7"/>
    <w:rsid w:val="001B1A4F"/>
    <w:rsid w:val="001B2A87"/>
    <w:rsid w:val="001B6B55"/>
    <w:rsid w:val="001C0187"/>
    <w:rsid w:val="001C30C8"/>
    <w:rsid w:val="001C46B0"/>
    <w:rsid w:val="001C4CB4"/>
    <w:rsid w:val="001C53C5"/>
    <w:rsid w:val="001D119E"/>
    <w:rsid w:val="001D2D49"/>
    <w:rsid w:val="001D42EF"/>
    <w:rsid w:val="001D45D0"/>
    <w:rsid w:val="001D4AB6"/>
    <w:rsid w:val="001D6E2A"/>
    <w:rsid w:val="001E06C6"/>
    <w:rsid w:val="001E1142"/>
    <w:rsid w:val="001E1B48"/>
    <w:rsid w:val="001E27BC"/>
    <w:rsid w:val="001E4FE6"/>
    <w:rsid w:val="001E566B"/>
    <w:rsid w:val="001E6216"/>
    <w:rsid w:val="001F17D6"/>
    <w:rsid w:val="001F3C62"/>
    <w:rsid w:val="001F63F5"/>
    <w:rsid w:val="001F70AF"/>
    <w:rsid w:val="001F7242"/>
    <w:rsid w:val="002025C1"/>
    <w:rsid w:val="00203359"/>
    <w:rsid w:val="00204695"/>
    <w:rsid w:val="00204BC4"/>
    <w:rsid w:val="00211CFB"/>
    <w:rsid w:val="002120C0"/>
    <w:rsid w:val="00212F21"/>
    <w:rsid w:val="002136E7"/>
    <w:rsid w:val="00213AE1"/>
    <w:rsid w:val="00214D1A"/>
    <w:rsid w:val="002160EB"/>
    <w:rsid w:val="002164CA"/>
    <w:rsid w:val="00216DDD"/>
    <w:rsid w:val="00221132"/>
    <w:rsid w:val="00224459"/>
    <w:rsid w:val="00225349"/>
    <w:rsid w:val="00225687"/>
    <w:rsid w:val="00225E5A"/>
    <w:rsid w:val="00226764"/>
    <w:rsid w:val="002306E5"/>
    <w:rsid w:val="0023076E"/>
    <w:rsid w:val="00235156"/>
    <w:rsid w:val="00236474"/>
    <w:rsid w:val="002416F2"/>
    <w:rsid w:val="00242654"/>
    <w:rsid w:val="00242810"/>
    <w:rsid w:val="00242C36"/>
    <w:rsid w:val="00243DE5"/>
    <w:rsid w:val="00243FB4"/>
    <w:rsid w:val="00244148"/>
    <w:rsid w:val="00244C4D"/>
    <w:rsid w:val="00244F4E"/>
    <w:rsid w:val="00245CB9"/>
    <w:rsid w:val="002510D9"/>
    <w:rsid w:val="00251C87"/>
    <w:rsid w:val="00252B1A"/>
    <w:rsid w:val="00253957"/>
    <w:rsid w:val="00255866"/>
    <w:rsid w:val="002570D2"/>
    <w:rsid w:val="00261A4C"/>
    <w:rsid w:val="002627A6"/>
    <w:rsid w:val="002650C8"/>
    <w:rsid w:val="00265578"/>
    <w:rsid w:val="00265727"/>
    <w:rsid w:val="002659B9"/>
    <w:rsid w:val="00265A6E"/>
    <w:rsid w:val="002706B2"/>
    <w:rsid w:val="00271BC1"/>
    <w:rsid w:val="00272459"/>
    <w:rsid w:val="00272F80"/>
    <w:rsid w:val="0027471E"/>
    <w:rsid w:val="00276070"/>
    <w:rsid w:val="00277AD9"/>
    <w:rsid w:val="00281C44"/>
    <w:rsid w:val="0028214F"/>
    <w:rsid w:val="00285741"/>
    <w:rsid w:val="0028585C"/>
    <w:rsid w:val="00290B33"/>
    <w:rsid w:val="002918AE"/>
    <w:rsid w:val="00292586"/>
    <w:rsid w:val="00293923"/>
    <w:rsid w:val="00293A85"/>
    <w:rsid w:val="002948CD"/>
    <w:rsid w:val="002949DF"/>
    <w:rsid w:val="002951AE"/>
    <w:rsid w:val="00295F9B"/>
    <w:rsid w:val="002A254C"/>
    <w:rsid w:val="002A2B8B"/>
    <w:rsid w:val="002A2C1E"/>
    <w:rsid w:val="002A4ECB"/>
    <w:rsid w:val="002A5607"/>
    <w:rsid w:val="002A6962"/>
    <w:rsid w:val="002B2452"/>
    <w:rsid w:val="002B25AF"/>
    <w:rsid w:val="002B746B"/>
    <w:rsid w:val="002C226E"/>
    <w:rsid w:val="002C29B8"/>
    <w:rsid w:val="002C6C1D"/>
    <w:rsid w:val="002D1627"/>
    <w:rsid w:val="002D1868"/>
    <w:rsid w:val="002D3AAC"/>
    <w:rsid w:val="002D40F7"/>
    <w:rsid w:val="002D4538"/>
    <w:rsid w:val="002D7AE6"/>
    <w:rsid w:val="002E07EE"/>
    <w:rsid w:val="002E1C16"/>
    <w:rsid w:val="002E2684"/>
    <w:rsid w:val="002E6B43"/>
    <w:rsid w:val="002F0680"/>
    <w:rsid w:val="002F0F81"/>
    <w:rsid w:val="002F3DB8"/>
    <w:rsid w:val="002F5014"/>
    <w:rsid w:val="002F5B67"/>
    <w:rsid w:val="002F623E"/>
    <w:rsid w:val="002F659F"/>
    <w:rsid w:val="002F6624"/>
    <w:rsid w:val="002F693C"/>
    <w:rsid w:val="002F70C3"/>
    <w:rsid w:val="002F737F"/>
    <w:rsid w:val="002F73F9"/>
    <w:rsid w:val="00300885"/>
    <w:rsid w:val="0030223D"/>
    <w:rsid w:val="00303051"/>
    <w:rsid w:val="00304291"/>
    <w:rsid w:val="00304337"/>
    <w:rsid w:val="003048CC"/>
    <w:rsid w:val="0031027E"/>
    <w:rsid w:val="003106C9"/>
    <w:rsid w:val="003165A9"/>
    <w:rsid w:val="003246F3"/>
    <w:rsid w:val="00330CAC"/>
    <w:rsid w:val="00333D21"/>
    <w:rsid w:val="00336875"/>
    <w:rsid w:val="00336A40"/>
    <w:rsid w:val="00336F22"/>
    <w:rsid w:val="003420C0"/>
    <w:rsid w:val="0034330D"/>
    <w:rsid w:val="00343EA3"/>
    <w:rsid w:val="00345B4E"/>
    <w:rsid w:val="00347023"/>
    <w:rsid w:val="00351034"/>
    <w:rsid w:val="00351E0F"/>
    <w:rsid w:val="003525F4"/>
    <w:rsid w:val="00354F38"/>
    <w:rsid w:val="003556C2"/>
    <w:rsid w:val="00357D3F"/>
    <w:rsid w:val="00361407"/>
    <w:rsid w:val="00362C2A"/>
    <w:rsid w:val="003633C7"/>
    <w:rsid w:val="00366412"/>
    <w:rsid w:val="003674B8"/>
    <w:rsid w:val="00367DBA"/>
    <w:rsid w:val="00372FFE"/>
    <w:rsid w:val="00374062"/>
    <w:rsid w:val="00374D64"/>
    <w:rsid w:val="003776AD"/>
    <w:rsid w:val="0037796E"/>
    <w:rsid w:val="003819B6"/>
    <w:rsid w:val="003829D0"/>
    <w:rsid w:val="003875F2"/>
    <w:rsid w:val="0039063D"/>
    <w:rsid w:val="0039206D"/>
    <w:rsid w:val="00392196"/>
    <w:rsid w:val="00394788"/>
    <w:rsid w:val="00395251"/>
    <w:rsid w:val="003955ED"/>
    <w:rsid w:val="003A21F6"/>
    <w:rsid w:val="003A2C7B"/>
    <w:rsid w:val="003A3006"/>
    <w:rsid w:val="003A4351"/>
    <w:rsid w:val="003A4D88"/>
    <w:rsid w:val="003A7FDD"/>
    <w:rsid w:val="003B273B"/>
    <w:rsid w:val="003B438B"/>
    <w:rsid w:val="003B572C"/>
    <w:rsid w:val="003B5DED"/>
    <w:rsid w:val="003B6107"/>
    <w:rsid w:val="003B6F26"/>
    <w:rsid w:val="003B6F44"/>
    <w:rsid w:val="003C007A"/>
    <w:rsid w:val="003C02A7"/>
    <w:rsid w:val="003C0CE4"/>
    <w:rsid w:val="003C0CF5"/>
    <w:rsid w:val="003C2FEE"/>
    <w:rsid w:val="003C327E"/>
    <w:rsid w:val="003D238A"/>
    <w:rsid w:val="003D3E79"/>
    <w:rsid w:val="003D52D8"/>
    <w:rsid w:val="003D60DF"/>
    <w:rsid w:val="003D794E"/>
    <w:rsid w:val="003E24FF"/>
    <w:rsid w:val="003E483F"/>
    <w:rsid w:val="003E57C6"/>
    <w:rsid w:val="003E5C27"/>
    <w:rsid w:val="003E7E69"/>
    <w:rsid w:val="003F1B01"/>
    <w:rsid w:val="00401B3A"/>
    <w:rsid w:val="00402A55"/>
    <w:rsid w:val="0040318D"/>
    <w:rsid w:val="004036D8"/>
    <w:rsid w:val="00406D2A"/>
    <w:rsid w:val="004100BE"/>
    <w:rsid w:val="0041014C"/>
    <w:rsid w:val="004210F5"/>
    <w:rsid w:val="00421A03"/>
    <w:rsid w:val="00422874"/>
    <w:rsid w:val="00423906"/>
    <w:rsid w:val="0042455E"/>
    <w:rsid w:val="00424B86"/>
    <w:rsid w:val="00426178"/>
    <w:rsid w:val="00426A9E"/>
    <w:rsid w:val="0042779E"/>
    <w:rsid w:val="00432481"/>
    <w:rsid w:val="00433D30"/>
    <w:rsid w:val="00434B8C"/>
    <w:rsid w:val="00435088"/>
    <w:rsid w:val="00436EFA"/>
    <w:rsid w:val="00445A3A"/>
    <w:rsid w:val="00446F2B"/>
    <w:rsid w:val="004470EC"/>
    <w:rsid w:val="004513AC"/>
    <w:rsid w:val="0045276B"/>
    <w:rsid w:val="00454EEE"/>
    <w:rsid w:val="00457EC1"/>
    <w:rsid w:val="00460EF5"/>
    <w:rsid w:val="00466D05"/>
    <w:rsid w:val="00466E54"/>
    <w:rsid w:val="00467E18"/>
    <w:rsid w:val="00467F27"/>
    <w:rsid w:val="004701C7"/>
    <w:rsid w:val="004706F9"/>
    <w:rsid w:val="00471DD9"/>
    <w:rsid w:val="00472BDA"/>
    <w:rsid w:val="00477444"/>
    <w:rsid w:val="00477C1E"/>
    <w:rsid w:val="004825B1"/>
    <w:rsid w:val="004839AE"/>
    <w:rsid w:val="00486097"/>
    <w:rsid w:val="00487314"/>
    <w:rsid w:val="004876E0"/>
    <w:rsid w:val="00487792"/>
    <w:rsid w:val="00487D94"/>
    <w:rsid w:val="00490C74"/>
    <w:rsid w:val="00491A01"/>
    <w:rsid w:val="004943E7"/>
    <w:rsid w:val="0049539D"/>
    <w:rsid w:val="004A3C84"/>
    <w:rsid w:val="004A633A"/>
    <w:rsid w:val="004A6A8D"/>
    <w:rsid w:val="004A6FC6"/>
    <w:rsid w:val="004B0089"/>
    <w:rsid w:val="004B1B0D"/>
    <w:rsid w:val="004B30DC"/>
    <w:rsid w:val="004B332E"/>
    <w:rsid w:val="004B4176"/>
    <w:rsid w:val="004B487A"/>
    <w:rsid w:val="004B55EB"/>
    <w:rsid w:val="004C109D"/>
    <w:rsid w:val="004C3147"/>
    <w:rsid w:val="004C3384"/>
    <w:rsid w:val="004C505C"/>
    <w:rsid w:val="004C5250"/>
    <w:rsid w:val="004C72B6"/>
    <w:rsid w:val="004D0CAF"/>
    <w:rsid w:val="004D17E0"/>
    <w:rsid w:val="004D1D6F"/>
    <w:rsid w:val="004D2090"/>
    <w:rsid w:val="004D2464"/>
    <w:rsid w:val="004D4705"/>
    <w:rsid w:val="004D4A10"/>
    <w:rsid w:val="004D6544"/>
    <w:rsid w:val="004D6DDC"/>
    <w:rsid w:val="004D74B7"/>
    <w:rsid w:val="004D7914"/>
    <w:rsid w:val="004E33E8"/>
    <w:rsid w:val="004E62E8"/>
    <w:rsid w:val="004F0240"/>
    <w:rsid w:val="004F03B6"/>
    <w:rsid w:val="004F1F7D"/>
    <w:rsid w:val="004F2D34"/>
    <w:rsid w:val="004F3ACD"/>
    <w:rsid w:val="004F4547"/>
    <w:rsid w:val="004F4850"/>
    <w:rsid w:val="005011CC"/>
    <w:rsid w:val="00502D18"/>
    <w:rsid w:val="00505B06"/>
    <w:rsid w:val="00506413"/>
    <w:rsid w:val="00510C39"/>
    <w:rsid w:val="005113AD"/>
    <w:rsid w:val="005130AB"/>
    <w:rsid w:val="005134A7"/>
    <w:rsid w:val="005149A5"/>
    <w:rsid w:val="0051507A"/>
    <w:rsid w:val="00515723"/>
    <w:rsid w:val="0051596F"/>
    <w:rsid w:val="00516E2A"/>
    <w:rsid w:val="00517955"/>
    <w:rsid w:val="005213FA"/>
    <w:rsid w:val="00522687"/>
    <w:rsid w:val="00524E1C"/>
    <w:rsid w:val="00524F9C"/>
    <w:rsid w:val="00530E14"/>
    <w:rsid w:val="00531E7F"/>
    <w:rsid w:val="00534CCF"/>
    <w:rsid w:val="00535235"/>
    <w:rsid w:val="00537B79"/>
    <w:rsid w:val="00540A63"/>
    <w:rsid w:val="00544757"/>
    <w:rsid w:val="00544BDF"/>
    <w:rsid w:val="0054681B"/>
    <w:rsid w:val="00546B23"/>
    <w:rsid w:val="00550CEA"/>
    <w:rsid w:val="00554595"/>
    <w:rsid w:val="0055512C"/>
    <w:rsid w:val="00555615"/>
    <w:rsid w:val="005572ED"/>
    <w:rsid w:val="00557DAF"/>
    <w:rsid w:val="005610ED"/>
    <w:rsid w:val="00564E50"/>
    <w:rsid w:val="00573D86"/>
    <w:rsid w:val="00574E7D"/>
    <w:rsid w:val="0057694D"/>
    <w:rsid w:val="00576BE9"/>
    <w:rsid w:val="00577538"/>
    <w:rsid w:val="00580AD7"/>
    <w:rsid w:val="0058356C"/>
    <w:rsid w:val="00591E9E"/>
    <w:rsid w:val="005921C2"/>
    <w:rsid w:val="00592250"/>
    <w:rsid w:val="00594147"/>
    <w:rsid w:val="005955F2"/>
    <w:rsid w:val="005964C1"/>
    <w:rsid w:val="005A03B5"/>
    <w:rsid w:val="005A22D4"/>
    <w:rsid w:val="005A258C"/>
    <w:rsid w:val="005A4335"/>
    <w:rsid w:val="005A70A2"/>
    <w:rsid w:val="005A7259"/>
    <w:rsid w:val="005B1016"/>
    <w:rsid w:val="005B28BF"/>
    <w:rsid w:val="005B2EF9"/>
    <w:rsid w:val="005B6453"/>
    <w:rsid w:val="005C13F7"/>
    <w:rsid w:val="005C285F"/>
    <w:rsid w:val="005C2E06"/>
    <w:rsid w:val="005C46E8"/>
    <w:rsid w:val="005C4CA8"/>
    <w:rsid w:val="005C5A73"/>
    <w:rsid w:val="005C6323"/>
    <w:rsid w:val="005C7B8B"/>
    <w:rsid w:val="005D26E5"/>
    <w:rsid w:val="005D3575"/>
    <w:rsid w:val="005D4099"/>
    <w:rsid w:val="005D5C7B"/>
    <w:rsid w:val="005D5EFB"/>
    <w:rsid w:val="005D61E8"/>
    <w:rsid w:val="005D6612"/>
    <w:rsid w:val="005D6802"/>
    <w:rsid w:val="005E0319"/>
    <w:rsid w:val="005E13E7"/>
    <w:rsid w:val="005E27B1"/>
    <w:rsid w:val="005E2D0B"/>
    <w:rsid w:val="005E2FEB"/>
    <w:rsid w:val="005E5061"/>
    <w:rsid w:val="005E565C"/>
    <w:rsid w:val="005E6AB2"/>
    <w:rsid w:val="005E6EE2"/>
    <w:rsid w:val="005E7885"/>
    <w:rsid w:val="005F0048"/>
    <w:rsid w:val="005F0FD5"/>
    <w:rsid w:val="005F1199"/>
    <w:rsid w:val="005F2013"/>
    <w:rsid w:val="005F3E08"/>
    <w:rsid w:val="00602260"/>
    <w:rsid w:val="006030A3"/>
    <w:rsid w:val="0060490B"/>
    <w:rsid w:val="00605176"/>
    <w:rsid w:val="0060605C"/>
    <w:rsid w:val="00607497"/>
    <w:rsid w:val="00612715"/>
    <w:rsid w:val="00613BB8"/>
    <w:rsid w:val="00620D1E"/>
    <w:rsid w:val="00622039"/>
    <w:rsid w:val="00622D83"/>
    <w:rsid w:val="0062368D"/>
    <w:rsid w:val="006256D4"/>
    <w:rsid w:val="006263EB"/>
    <w:rsid w:val="00627FD2"/>
    <w:rsid w:val="0063060E"/>
    <w:rsid w:val="00630AAA"/>
    <w:rsid w:val="00632AA5"/>
    <w:rsid w:val="0063798D"/>
    <w:rsid w:val="00637DE0"/>
    <w:rsid w:val="00641036"/>
    <w:rsid w:val="00643350"/>
    <w:rsid w:val="006501DA"/>
    <w:rsid w:val="006509FC"/>
    <w:rsid w:val="00652090"/>
    <w:rsid w:val="0065246A"/>
    <w:rsid w:val="00652969"/>
    <w:rsid w:val="0065359D"/>
    <w:rsid w:val="006539C0"/>
    <w:rsid w:val="006540FE"/>
    <w:rsid w:val="00654643"/>
    <w:rsid w:val="00655480"/>
    <w:rsid w:val="006572A4"/>
    <w:rsid w:val="00661AA1"/>
    <w:rsid w:val="00662BA9"/>
    <w:rsid w:val="00663B65"/>
    <w:rsid w:val="006668FB"/>
    <w:rsid w:val="006702CB"/>
    <w:rsid w:val="00670451"/>
    <w:rsid w:val="00672665"/>
    <w:rsid w:val="006727EE"/>
    <w:rsid w:val="00675733"/>
    <w:rsid w:val="00676091"/>
    <w:rsid w:val="00676D2F"/>
    <w:rsid w:val="0068013E"/>
    <w:rsid w:val="00680F19"/>
    <w:rsid w:val="00681A77"/>
    <w:rsid w:val="006828D7"/>
    <w:rsid w:val="00684D8E"/>
    <w:rsid w:val="0068786F"/>
    <w:rsid w:val="00687E33"/>
    <w:rsid w:val="006901E4"/>
    <w:rsid w:val="006932F5"/>
    <w:rsid w:val="00693879"/>
    <w:rsid w:val="006941F5"/>
    <w:rsid w:val="006963AE"/>
    <w:rsid w:val="00696AC8"/>
    <w:rsid w:val="00697A34"/>
    <w:rsid w:val="006A1F44"/>
    <w:rsid w:val="006A4146"/>
    <w:rsid w:val="006A6A9C"/>
    <w:rsid w:val="006A713C"/>
    <w:rsid w:val="006B1CC8"/>
    <w:rsid w:val="006B2D4E"/>
    <w:rsid w:val="006B4B94"/>
    <w:rsid w:val="006B5619"/>
    <w:rsid w:val="006B57E3"/>
    <w:rsid w:val="006C0201"/>
    <w:rsid w:val="006C1846"/>
    <w:rsid w:val="006C3006"/>
    <w:rsid w:val="006C5480"/>
    <w:rsid w:val="006C585D"/>
    <w:rsid w:val="006C64AC"/>
    <w:rsid w:val="006C7C4A"/>
    <w:rsid w:val="006D0540"/>
    <w:rsid w:val="006D245D"/>
    <w:rsid w:val="006D4AE6"/>
    <w:rsid w:val="006D714B"/>
    <w:rsid w:val="006D7FB1"/>
    <w:rsid w:val="006E054D"/>
    <w:rsid w:val="006E262D"/>
    <w:rsid w:val="006E3056"/>
    <w:rsid w:val="006E4609"/>
    <w:rsid w:val="006E5FDC"/>
    <w:rsid w:val="006F00FB"/>
    <w:rsid w:val="006F067E"/>
    <w:rsid w:val="006F1517"/>
    <w:rsid w:val="006F1FCA"/>
    <w:rsid w:val="006F2E4E"/>
    <w:rsid w:val="006F39DF"/>
    <w:rsid w:val="006F3AA2"/>
    <w:rsid w:val="006F432A"/>
    <w:rsid w:val="006F438C"/>
    <w:rsid w:val="006F7A12"/>
    <w:rsid w:val="00700732"/>
    <w:rsid w:val="0070262D"/>
    <w:rsid w:val="007044B9"/>
    <w:rsid w:val="00704928"/>
    <w:rsid w:val="0070640D"/>
    <w:rsid w:val="00717C54"/>
    <w:rsid w:val="00720998"/>
    <w:rsid w:val="00721023"/>
    <w:rsid w:val="00725974"/>
    <w:rsid w:val="00725DFC"/>
    <w:rsid w:val="00726316"/>
    <w:rsid w:val="0073032D"/>
    <w:rsid w:val="00730BC2"/>
    <w:rsid w:val="00731C36"/>
    <w:rsid w:val="0073283C"/>
    <w:rsid w:val="00735713"/>
    <w:rsid w:val="007360F6"/>
    <w:rsid w:val="007375BE"/>
    <w:rsid w:val="007403F1"/>
    <w:rsid w:val="0074157A"/>
    <w:rsid w:val="00742302"/>
    <w:rsid w:val="0074304E"/>
    <w:rsid w:val="0074405F"/>
    <w:rsid w:val="007471D9"/>
    <w:rsid w:val="00747363"/>
    <w:rsid w:val="00747CF9"/>
    <w:rsid w:val="00747D0B"/>
    <w:rsid w:val="00750F65"/>
    <w:rsid w:val="007516EE"/>
    <w:rsid w:val="00751B1B"/>
    <w:rsid w:val="00752352"/>
    <w:rsid w:val="00752E44"/>
    <w:rsid w:val="0075360C"/>
    <w:rsid w:val="00755A2F"/>
    <w:rsid w:val="00762B3E"/>
    <w:rsid w:val="00762F7C"/>
    <w:rsid w:val="0076372D"/>
    <w:rsid w:val="00763BCE"/>
    <w:rsid w:val="00763FE0"/>
    <w:rsid w:val="00764D5D"/>
    <w:rsid w:val="00766D8C"/>
    <w:rsid w:val="00770684"/>
    <w:rsid w:val="00772242"/>
    <w:rsid w:val="00775A5E"/>
    <w:rsid w:val="00776E4A"/>
    <w:rsid w:val="00777E2B"/>
    <w:rsid w:val="0078157D"/>
    <w:rsid w:val="00781BDC"/>
    <w:rsid w:val="007821C8"/>
    <w:rsid w:val="00785436"/>
    <w:rsid w:val="00786349"/>
    <w:rsid w:val="0078649A"/>
    <w:rsid w:val="00792697"/>
    <w:rsid w:val="007932ED"/>
    <w:rsid w:val="00793B11"/>
    <w:rsid w:val="00794311"/>
    <w:rsid w:val="007948FA"/>
    <w:rsid w:val="0079498C"/>
    <w:rsid w:val="007954E7"/>
    <w:rsid w:val="0079550E"/>
    <w:rsid w:val="00795946"/>
    <w:rsid w:val="00795D23"/>
    <w:rsid w:val="00797188"/>
    <w:rsid w:val="00797291"/>
    <w:rsid w:val="00797B10"/>
    <w:rsid w:val="007A5A1F"/>
    <w:rsid w:val="007A6534"/>
    <w:rsid w:val="007A6D5D"/>
    <w:rsid w:val="007A6F86"/>
    <w:rsid w:val="007A7834"/>
    <w:rsid w:val="007B06D4"/>
    <w:rsid w:val="007B077D"/>
    <w:rsid w:val="007B0F58"/>
    <w:rsid w:val="007B1F0C"/>
    <w:rsid w:val="007B2037"/>
    <w:rsid w:val="007B26F7"/>
    <w:rsid w:val="007B291A"/>
    <w:rsid w:val="007B2FA1"/>
    <w:rsid w:val="007B7BCF"/>
    <w:rsid w:val="007C0ABC"/>
    <w:rsid w:val="007C1173"/>
    <w:rsid w:val="007C28A9"/>
    <w:rsid w:val="007C28BE"/>
    <w:rsid w:val="007C3442"/>
    <w:rsid w:val="007C5677"/>
    <w:rsid w:val="007C61CE"/>
    <w:rsid w:val="007C6D46"/>
    <w:rsid w:val="007D12D7"/>
    <w:rsid w:val="007D171B"/>
    <w:rsid w:val="007D47FB"/>
    <w:rsid w:val="007D694D"/>
    <w:rsid w:val="007E1F39"/>
    <w:rsid w:val="007E256B"/>
    <w:rsid w:val="007E3279"/>
    <w:rsid w:val="007E35C6"/>
    <w:rsid w:val="007E41B4"/>
    <w:rsid w:val="007E4DDB"/>
    <w:rsid w:val="007E52A4"/>
    <w:rsid w:val="007E52F8"/>
    <w:rsid w:val="007E6273"/>
    <w:rsid w:val="007E7BD4"/>
    <w:rsid w:val="007F2565"/>
    <w:rsid w:val="007F2F38"/>
    <w:rsid w:val="007F69FC"/>
    <w:rsid w:val="007F7630"/>
    <w:rsid w:val="00804114"/>
    <w:rsid w:val="00804F28"/>
    <w:rsid w:val="0080561C"/>
    <w:rsid w:val="00805A0F"/>
    <w:rsid w:val="0081070C"/>
    <w:rsid w:val="00811011"/>
    <w:rsid w:val="008122E7"/>
    <w:rsid w:val="0081408E"/>
    <w:rsid w:val="00815EEE"/>
    <w:rsid w:val="008237ED"/>
    <w:rsid w:val="00825394"/>
    <w:rsid w:val="00825BD0"/>
    <w:rsid w:val="00827332"/>
    <w:rsid w:val="00830142"/>
    <w:rsid w:val="00830659"/>
    <w:rsid w:val="008326A5"/>
    <w:rsid w:val="00832BEF"/>
    <w:rsid w:val="00833A2D"/>
    <w:rsid w:val="00834304"/>
    <w:rsid w:val="00835BB5"/>
    <w:rsid w:val="00836C38"/>
    <w:rsid w:val="008407AF"/>
    <w:rsid w:val="008414AF"/>
    <w:rsid w:val="00842800"/>
    <w:rsid w:val="008453E1"/>
    <w:rsid w:val="00847651"/>
    <w:rsid w:val="00847696"/>
    <w:rsid w:val="00850339"/>
    <w:rsid w:val="00855CDD"/>
    <w:rsid w:val="00856341"/>
    <w:rsid w:val="0085744C"/>
    <w:rsid w:val="00860BEC"/>
    <w:rsid w:val="00860E4A"/>
    <w:rsid w:val="00862643"/>
    <w:rsid w:val="008630C6"/>
    <w:rsid w:val="008656AD"/>
    <w:rsid w:val="008666D7"/>
    <w:rsid w:val="008707BB"/>
    <w:rsid w:val="00873019"/>
    <w:rsid w:val="008733F3"/>
    <w:rsid w:val="008734C8"/>
    <w:rsid w:val="0087552E"/>
    <w:rsid w:val="008763A6"/>
    <w:rsid w:val="00876DDE"/>
    <w:rsid w:val="00881B32"/>
    <w:rsid w:val="00881B89"/>
    <w:rsid w:val="00881DBB"/>
    <w:rsid w:val="008858EB"/>
    <w:rsid w:val="008864DA"/>
    <w:rsid w:val="00887036"/>
    <w:rsid w:val="008907EB"/>
    <w:rsid w:val="00890DF2"/>
    <w:rsid w:val="00890E5B"/>
    <w:rsid w:val="00891691"/>
    <w:rsid w:val="00892163"/>
    <w:rsid w:val="0089477D"/>
    <w:rsid w:val="00895B9B"/>
    <w:rsid w:val="008A208D"/>
    <w:rsid w:val="008A455C"/>
    <w:rsid w:val="008A68F2"/>
    <w:rsid w:val="008A745B"/>
    <w:rsid w:val="008B0F4B"/>
    <w:rsid w:val="008B3842"/>
    <w:rsid w:val="008B4D1F"/>
    <w:rsid w:val="008B5F5F"/>
    <w:rsid w:val="008B6437"/>
    <w:rsid w:val="008B704A"/>
    <w:rsid w:val="008C04FD"/>
    <w:rsid w:val="008C2B13"/>
    <w:rsid w:val="008C373D"/>
    <w:rsid w:val="008C608C"/>
    <w:rsid w:val="008C67F3"/>
    <w:rsid w:val="008C6D2A"/>
    <w:rsid w:val="008C731C"/>
    <w:rsid w:val="008C7B86"/>
    <w:rsid w:val="008D21BB"/>
    <w:rsid w:val="008D2815"/>
    <w:rsid w:val="008D4403"/>
    <w:rsid w:val="008D48D2"/>
    <w:rsid w:val="008D4ECF"/>
    <w:rsid w:val="008D7FE5"/>
    <w:rsid w:val="008E2764"/>
    <w:rsid w:val="008E3E5F"/>
    <w:rsid w:val="008E3EAC"/>
    <w:rsid w:val="008E47B9"/>
    <w:rsid w:val="008E53A2"/>
    <w:rsid w:val="008F71C5"/>
    <w:rsid w:val="009008FF"/>
    <w:rsid w:val="009016A5"/>
    <w:rsid w:val="00901C10"/>
    <w:rsid w:val="00902724"/>
    <w:rsid w:val="00906A7E"/>
    <w:rsid w:val="00906BF9"/>
    <w:rsid w:val="00911E24"/>
    <w:rsid w:val="0091209B"/>
    <w:rsid w:val="0091233F"/>
    <w:rsid w:val="00912EEC"/>
    <w:rsid w:val="00913BC7"/>
    <w:rsid w:val="00915106"/>
    <w:rsid w:val="00920E0F"/>
    <w:rsid w:val="00921465"/>
    <w:rsid w:val="00921684"/>
    <w:rsid w:val="009224E8"/>
    <w:rsid w:val="00922AEB"/>
    <w:rsid w:val="00924029"/>
    <w:rsid w:val="00926E5D"/>
    <w:rsid w:val="009270AB"/>
    <w:rsid w:val="009279B2"/>
    <w:rsid w:val="00930928"/>
    <w:rsid w:val="00931D98"/>
    <w:rsid w:val="00932A55"/>
    <w:rsid w:val="00933E02"/>
    <w:rsid w:val="00934BBF"/>
    <w:rsid w:val="00935779"/>
    <w:rsid w:val="00937D57"/>
    <w:rsid w:val="00940813"/>
    <w:rsid w:val="00940B9C"/>
    <w:rsid w:val="00941335"/>
    <w:rsid w:val="00944F5E"/>
    <w:rsid w:val="00947846"/>
    <w:rsid w:val="00947B2C"/>
    <w:rsid w:val="00950E0C"/>
    <w:rsid w:val="009512C2"/>
    <w:rsid w:val="00951CEC"/>
    <w:rsid w:val="009531C1"/>
    <w:rsid w:val="0095430C"/>
    <w:rsid w:val="0095447D"/>
    <w:rsid w:val="00957216"/>
    <w:rsid w:val="00965295"/>
    <w:rsid w:val="00965695"/>
    <w:rsid w:val="0097027B"/>
    <w:rsid w:val="00970473"/>
    <w:rsid w:val="00970695"/>
    <w:rsid w:val="0097491E"/>
    <w:rsid w:val="009757A8"/>
    <w:rsid w:val="00975C8D"/>
    <w:rsid w:val="00977822"/>
    <w:rsid w:val="009840AC"/>
    <w:rsid w:val="00986711"/>
    <w:rsid w:val="00986CFE"/>
    <w:rsid w:val="00986F0D"/>
    <w:rsid w:val="00993829"/>
    <w:rsid w:val="0099394C"/>
    <w:rsid w:val="009942F8"/>
    <w:rsid w:val="00995162"/>
    <w:rsid w:val="00996389"/>
    <w:rsid w:val="009A0606"/>
    <w:rsid w:val="009A1860"/>
    <w:rsid w:val="009A51D3"/>
    <w:rsid w:val="009A606B"/>
    <w:rsid w:val="009A670F"/>
    <w:rsid w:val="009A7554"/>
    <w:rsid w:val="009B22E9"/>
    <w:rsid w:val="009B2720"/>
    <w:rsid w:val="009B6BFD"/>
    <w:rsid w:val="009B7FCA"/>
    <w:rsid w:val="009C0199"/>
    <w:rsid w:val="009C11F3"/>
    <w:rsid w:val="009C2D03"/>
    <w:rsid w:val="009D02FF"/>
    <w:rsid w:val="009D3E3D"/>
    <w:rsid w:val="009E02E6"/>
    <w:rsid w:val="009E072F"/>
    <w:rsid w:val="009E2B97"/>
    <w:rsid w:val="009E376B"/>
    <w:rsid w:val="009E48DE"/>
    <w:rsid w:val="009E4CEE"/>
    <w:rsid w:val="009E6B21"/>
    <w:rsid w:val="009F2B09"/>
    <w:rsid w:val="00A0062F"/>
    <w:rsid w:val="00A0323A"/>
    <w:rsid w:val="00A03A2E"/>
    <w:rsid w:val="00A050DE"/>
    <w:rsid w:val="00A051FD"/>
    <w:rsid w:val="00A067F8"/>
    <w:rsid w:val="00A07AEA"/>
    <w:rsid w:val="00A07EC3"/>
    <w:rsid w:val="00A108C9"/>
    <w:rsid w:val="00A10EC7"/>
    <w:rsid w:val="00A111B7"/>
    <w:rsid w:val="00A118B2"/>
    <w:rsid w:val="00A11A16"/>
    <w:rsid w:val="00A120C3"/>
    <w:rsid w:val="00A127D7"/>
    <w:rsid w:val="00A1372E"/>
    <w:rsid w:val="00A13ADA"/>
    <w:rsid w:val="00A147D1"/>
    <w:rsid w:val="00A1545B"/>
    <w:rsid w:val="00A16D2A"/>
    <w:rsid w:val="00A170E2"/>
    <w:rsid w:val="00A1750D"/>
    <w:rsid w:val="00A17E84"/>
    <w:rsid w:val="00A208CD"/>
    <w:rsid w:val="00A20911"/>
    <w:rsid w:val="00A219CD"/>
    <w:rsid w:val="00A21B5A"/>
    <w:rsid w:val="00A23612"/>
    <w:rsid w:val="00A2523E"/>
    <w:rsid w:val="00A25814"/>
    <w:rsid w:val="00A25E7D"/>
    <w:rsid w:val="00A27C37"/>
    <w:rsid w:val="00A3288A"/>
    <w:rsid w:val="00A330A4"/>
    <w:rsid w:val="00A35626"/>
    <w:rsid w:val="00A40A4D"/>
    <w:rsid w:val="00A418B8"/>
    <w:rsid w:val="00A4208C"/>
    <w:rsid w:val="00A4504F"/>
    <w:rsid w:val="00A450F1"/>
    <w:rsid w:val="00A46493"/>
    <w:rsid w:val="00A47E34"/>
    <w:rsid w:val="00A5023B"/>
    <w:rsid w:val="00A51554"/>
    <w:rsid w:val="00A546C9"/>
    <w:rsid w:val="00A54DAF"/>
    <w:rsid w:val="00A55A13"/>
    <w:rsid w:val="00A6056F"/>
    <w:rsid w:val="00A60D30"/>
    <w:rsid w:val="00A70155"/>
    <w:rsid w:val="00A7064A"/>
    <w:rsid w:val="00A73441"/>
    <w:rsid w:val="00A74912"/>
    <w:rsid w:val="00A7586F"/>
    <w:rsid w:val="00A776F2"/>
    <w:rsid w:val="00A80805"/>
    <w:rsid w:val="00A8146C"/>
    <w:rsid w:val="00A82EDA"/>
    <w:rsid w:val="00A83045"/>
    <w:rsid w:val="00A85D92"/>
    <w:rsid w:val="00A85F90"/>
    <w:rsid w:val="00A8625C"/>
    <w:rsid w:val="00A9022E"/>
    <w:rsid w:val="00A90EEE"/>
    <w:rsid w:val="00A91DE5"/>
    <w:rsid w:val="00A92699"/>
    <w:rsid w:val="00A93010"/>
    <w:rsid w:val="00A94388"/>
    <w:rsid w:val="00A96452"/>
    <w:rsid w:val="00A96D40"/>
    <w:rsid w:val="00AA2945"/>
    <w:rsid w:val="00AA2A9A"/>
    <w:rsid w:val="00AA35FD"/>
    <w:rsid w:val="00AA7A61"/>
    <w:rsid w:val="00AB0795"/>
    <w:rsid w:val="00AB0CD4"/>
    <w:rsid w:val="00AB19A1"/>
    <w:rsid w:val="00AB260C"/>
    <w:rsid w:val="00AB27AC"/>
    <w:rsid w:val="00AB2DC3"/>
    <w:rsid w:val="00AB4049"/>
    <w:rsid w:val="00AB4870"/>
    <w:rsid w:val="00AB5A3E"/>
    <w:rsid w:val="00AB647C"/>
    <w:rsid w:val="00AC07BC"/>
    <w:rsid w:val="00AC45ED"/>
    <w:rsid w:val="00AC7E78"/>
    <w:rsid w:val="00AD2364"/>
    <w:rsid w:val="00AD3373"/>
    <w:rsid w:val="00AD3C82"/>
    <w:rsid w:val="00AD59F2"/>
    <w:rsid w:val="00AD67C6"/>
    <w:rsid w:val="00AD6966"/>
    <w:rsid w:val="00AD698B"/>
    <w:rsid w:val="00AE28E7"/>
    <w:rsid w:val="00AE2944"/>
    <w:rsid w:val="00AE2DF4"/>
    <w:rsid w:val="00AE3DE5"/>
    <w:rsid w:val="00AE41FE"/>
    <w:rsid w:val="00AE5234"/>
    <w:rsid w:val="00AE548E"/>
    <w:rsid w:val="00AE67B3"/>
    <w:rsid w:val="00AF114A"/>
    <w:rsid w:val="00AF1200"/>
    <w:rsid w:val="00AF244E"/>
    <w:rsid w:val="00AF3288"/>
    <w:rsid w:val="00AF3D2C"/>
    <w:rsid w:val="00AF7C79"/>
    <w:rsid w:val="00B05DF4"/>
    <w:rsid w:val="00B068B7"/>
    <w:rsid w:val="00B166B9"/>
    <w:rsid w:val="00B244A7"/>
    <w:rsid w:val="00B25CE0"/>
    <w:rsid w:val="00B26263"/>
    <w:rsid w:val="00B26E68"/>
    <w:rsid w:val="00B30247"/>
    <w:rsid w:val="00B30B38"/>
    <w:rsid w:val="00B316A1"/>
    <w:rsid w:val="00B34AAB"/>
    <w:rsid w:val="00B352CC"/>
    <w:rsid w:val="00B360FF"/>
    <w:rsid w:val="00B36285"/>
    <w:rsid w:val="00B36707"/>
    <w:rsid w:val="00B37A07"/>
    <w:rsid w:val="00B37F6E"/>
    <w:rsid w:val="00B4181F"/>
    <w:rsid w:val="00B41A8D"/>
    <w:rsid w:val="00B41E01"/>
    <w:rsid w:val="00B42523"/>
    <w:rsid w:val="00B42CF6"/>
    <w:rsid w:val="00B44861"/>
    <w:rsid w:val="00B45C87"/>
    <w:rsid w:val="00B46786"/>
    <w:rsid w:val="00B5007F"/>
    <w:rsid w:val="00B52DC1"/>
    <w:rsid w:val="00B549D0"/>
    <w:rsid w:val="00B5745D"/>
    <w:rsid w:val="00B60705"/>
    <w:rsid w:val="00B61117"/>
    <w:rsid w:val="00B61B49"/>
    <w:rsid w:val="00B643A1"/>
    <w:rsid w:val="00B65385"/>
    <w:rsid w:val="00B70189"/>
    <w:rsid w:val="00B716C4"/>
    <w:rsid w:val="00B75753"/>
    <w:rsid w:val="00B769CC"/>
    <w:rsid w:val="00B80D85"/>
    <w:rsid w:val="00B81A2B"/>
    <w:rsid w:val="00B82E5D"/>
    <w:rsid w:val="00B831AF"/>
    <w:rsid w:val="00B87398"/>
    <w:rsid w:val="00B87972"/>
    <w:rsid w:val="00B90C26"/>
    <w:rsid w:val="00B93261"/>
    <w:rsid w:val="00B94A19"/>
    <w:rsid w:val="00B974E9"/>
    <w:rsid w:val="00BA2EAE"/>
    <w:rsid w:val="00BA431B"/>
    <w:rsid w:val="00BA7413"/>
    <w:rsid w:val="00BA750B"/>
    <w:rsid w:val="00BB17E4"/>
    <w:rsid w:val="00BB3445"/>
    <w:rsid w:val="00BB39D2"/>
    <w:rsid w:val="00BB3D15"/>
    <w:rsid w:val="00BB3E66"/>
    <w:rsid w:val="00BB6E4E"/>
    <w:rsid w:val="00BC0281"/>
    <w:rsid w:val="00BC07D5"/>
    <w:rsid w:val="00BC1270"/>
    <w:rsid w:val="00BC5D41"/>
    <w:rsid w:val="00BC6321"/>
    <w:rsid w:val="00BC76A5"/>
    <w:rsid w:val="00BC76ED"/>
    <w:rsid w:val="00BD0253"/>
    <w:rsid w:val="00BD3045"/>
    <w:rsid w:val="00BD3F38"/>
    <w:rsid w:val="00BD5931"/>
    <w:rsid w:val="00BE01A0"/>
    <w:rsid w:val="00BE0202"/>
    <w:rsid w:val="00BE1051"/>
    <w:rsid w:val="00BE21A0"/>
    <w:rsid w:val="00BE3BE5"/>
    <w:rsid w:val="00BE647D"/>
    <w:rsid w:val="00BE71E3"/>
    <w:rsid w:val="00BF1123"/>
    <w:rsid w:val="00BF17A7"/>
    <w:rsid w:val="00BF33B1"/>
    <w:rsid w:val="00BF36BA"/>
    <w:rsid w:val="00BF4B8D"/>
    <w:rsid w:val="00BF5CFB"/>
    <w:rsid w:val="00BF731A"/>
    <w:rsid w:val="00C01081"/>
    <w:rsid w:val="00C02EDC"/>
    <w:rsid w:val="00C033D8"/>
    <w:rsid w:val="00C04495"/>
    <w:rsid w:val="00C05B75"/>
    <w:rsid w:val="00C074B0"/>
    <w:rsid w:val="00C102BF"/>
    <w:rsid w:val="00C12026"/>
    <w:rsid w:val="00C12DF8"/>
    <w:rsid w:val="00C13572"/>
    <w:rsid w:val="00C169D1"/>
    <w:rsid w:val="00C17DE7"/>
    <w:rsid w:val="00C20746"/>
    <w:rsid w:val="00C2209F"/>
    <w:rsid w:val="00C232C3"/>
    <w:rsid w:val="00C23579"/>
    <w:rsid w:val="00C24397"/>
    <w:rsid w:val="00C25220"/>
    <w:rsid w:val="00C25D68"/>
    <w:rsid w:val="00C26CFB"/>
    <w:rsid w:val="00C30AEB"/>
    <w:rsid w:val="00C31AB2"/>
    <w:rsid w:val="00C3459E"/>
    <w:rsid w:val="00C345AC"/>
    <w:rsid w:val="00C37528"/>
    <w:rsid w:val="00C37854"/>
    <w:rsid w:val="00C4065D"/>
    <w:rsid w:val="00C40E87"/>
    <w:rsid w:val="00C43176"/>
    <w:rsid w:val="00C44500"/>
    <w:rsid w:val="00C459E7"/>
    <w:rsid w:val="00C45CC1"/>
    <w:rsid w:val="00C50E07"/>
    <w:rsid w:val="00C517B9"/>
    <w:rsid w:val="00C52FD7"/>
    <w:rsid w:val="00C534A8"/>
    <w:rsid w:val="00C53CB6"/>
    <w:rsid w:val="00C57B4E"/>
    <w:rsid w:val="00C57C30"/>
    <w:rsid w:val="00C64BF7"/>
    <w:rsid w:val="00C65A6A"/>
    <w:rsid w:val="00C65AC4"/>
    <w:rsid w:val="00C6606D"/>
    <w:rsid w:val="00C71E43"/>
    <w:rsid w:val="00C732BC"/>
    <w:rsid w:val="00C740A0"/>
    <w:rsid w:val="00C7464C"/>
    <w:rsid w:val="00C746AC"/>
    <w:rsid w:val="00C774A3"/>
    <w:rsid w:val="00C77710"/>
    <w:rsid w:val="00C77A8D"/>
    <w:rsid w:val="00C80AEB"/>
    <w:rsid w:val="00C845A3"/>
    <w:rsid w:val="00C864D5"/>
    <w:rsid w:val="00C87208"/>
    <w:rsid w:val="00C91C00"/>
    <w:rsid w:val="00C92499"/>
    <w:rsid w:val="00C92647"/>
    <w:rsid w:val="00C92B2E"/>
    <w:rsid w:val="00C9491B"/>
    <w:rsid w:val="00C96ACC"/>
    <w:rsid w:val="00C975A0"/>
    <w:rsid w:val="00CA00B5"/>
    <w:rsid w:val="00CB0573"/>
    <w:rsid w:val="00CB090F"/>
    <w:rsid w:val="00CB575D"/>
    <w:rsid w:val="00CB723A"/>
    <w:rsid w:val="00CC0D17"/>
    <w:rsid w:val="00CC178D"/>
    <w:rsid w:val="00CC278A"/>
    <w:rsid w:val="00CC399C"/>
    <w:rsid w:val="00CC3E12"/>
    <w:rsid w:val="00CC7627"/>
    <w:rsid w:val="00CD0674"/>
    <w:rsid w:val="00CD18FB"/>
    <w:rsid w:val="00CD589E"/>
    <w:rsid w:val="00CD6C61"/>
    <w:rsid w:val="00CD7A11"/>
    <w:rsid w:val="00CD7CB9"/>
    <w:rsid w:val="00CD7FBC"/>
    <w:rsid w:val="00CE4658"/>
    <w:rsid w:val="00CE64DC"/>
    <w:rsid w:val="00CE6580"/>
    <w:rsid w:val="00CF160A"/>
    <w:rsid w:val="00CF1BDA"/>
    <w:rsid w:val="00CF38E6"/>
    <w:rsid w:val="00CF4C53"/>
    <w:rsid w:val="00CF4DBA"/>
    <w:rsid w:val="00D00122"/>
    <w:rsid w:val="00D014C0"/>
    <w:rsid w:val="00D03850"/>
    <w:rsid w:val="00D0477D"/>
    <w:rsid w:val="00D05B32"/>
    <w:rsid w:val="00D0681E"/>
    <w:rsid w:val="00D07738"/>
    <w:rsid w:val="00D104CD"/>
    <w:rsid w:val="00D11813"/>
    <w:rsid w:val="00D11FB4"/>
    <w:rsid w:val="00D15C34"/>
    <w:rsid w:val="00D15D6F"/>
    <w:rsid w:val="00D1637C"/>
    <w:rsid w:val="00D16D2B"/>
    <w:rsid w:val="00D17B97"/>
    <w:rsid w:val="00D17FEC"/>
    <w:rsid w:val="00D207E4"/>
    <w:rsid w:val="00D20C85"/>
    <w:rsid w:val="00D20EF9"/>
    <w:rsid w:val="00D2226A"/>
    <w:rsid w:val="00D24496"/>
    <w:rsid w:val="00D25469"/>
    <w:rsid w:val="00D3106E"/>
    <w:rsid w:val="00D313BD"/>
    <w:rsid w:val="00D3367B"/>
    <w:rsid w:val="00D350DC"/>
    <w:rsid w:val="00D36048"/>
    <w:rsid w:val="00D36EEF"/>
    <w:rsid w:val="00D40A0C"/>
    <w:rsid w:val="00D4210C"/>
    <w:rsid w:val="00D42500"/>
    <w:rsid w:val="00D42647"/>
    <w:rsid w:val="00D43567"/>
    <w:rsid w:val="00D440C1"/>
    <w:rsid w:val="00D4635D"/>
    <w:rsid w:val="00D46713"/>
    <w:rsid w:val="00D477BB"/>
    <w:rsid w:val="00D50AE8"/>
    <w:rsid w:val="00D511F1"/>
    <w:rsid w:val="00D51216"/>
    <w:rsid w:val="00D53C1F"/>
    <w:rsid w:val="00D556C3"/>
    <w:rsid w:val="00D5611A"/>
    <w:rsid w:val="00D57B7F"/>
    <w:rsid w:val="00D61223"/>
    <w:rsid w:val="00D63CB7"/>
    <w:rsid w:val="00D666AC"/>
    <w:rsid w:val="00D678F4"/>
    <w:rsid w:val="00D743B6"/>
    <w:rsid w:val="00D74822"/>
    <w:rsid w:val="00D75114"/>
    <w:rsid w:val="00D76B39"/>
    <w:rsid w:val="00D7720B"/>
    <w:rsid w:val="00D80B8F"/>
    <w:rsid w:val="00D81986"/>
    <w:rsid w:val="00D824C9"/>
    <w:rsid w:val="00D83090"/>
    <w:rsid w:val="00D831F3"/>
    <w:rsid w:val="00D87DFA"/>
    <w:rsid w:val="00D92019"/>
    <w:rsid w:val="00D925DB"/>
    <w:rsid w:val="00D933F1"/>
    <w:rsid w:val="00D93965"/>
    <w:rsid w:val="00D93F88"/>
    <w:rsid w:val="00DA0464"/>
    <w:rsid w:val="00DA1CDD"/>
    <w:rsid w:val="00DA3734"/>
    <w:rsid w:val="00DA3B63"/>
    <w:rsid w:val="00DA4C3E"/>
    <w:rsid w:val="00DA5957"/>
    <w:rsid w:val="00DB1641"/>
    <w:rsid w:val="00DB2249"/>
    <w:rsid w:val="00DB4844"/>
    <w:rsid w:val="00DB5858"/>
    <w:rsid w:val="00DB58D5"/>
    <w:rsid w:val="00DC01CD"/>
    <w:rsid w:val="00DC03CC"/>
    <w:rsid w:val="00DC3532"/>
    <w:rsid w:val="00DC4E4A"/>
    <w:rsid w:val="00DC503A"/>
    <w:rsid w:val="00DC58DD"/>
    <w:rsid w:val="00DC5FC6"/>
    <w:rsid w:val="00DC6C2E"/>
    <w:rsid w:val="00DC6E08"/>
    <w:rsid w:val="00DC719B"/>
    <w:rsid w:val="00DD2E86"/>
    <w:rsid w:val="00DD2F87"/>
    <w:rsid w:val="00DD4A9A"/>
    <w:rsid w:val="00DE4896"/>
    <w:rsid w:val="00DE4C9E"/>
    <w:rsid w:val="00DE65B7"/>
    <w:rsid w:val="00DE74A4"/>
    <w:rsid w:val="00DE7794"/>
    <w:rsid w:val="00DF0E47"/>
    <w:rsid w:val="00DF1807"/>
    <w:rsid w:val="00DF3237"/>
    <w:rsid w:val="00DF4794"/>
    <w:rsid w:val="00DF576C"/>
    <w:rsid w:val="00DF7441"/>
    <w:rsid w:val="00DF776F"/>
    <w:rsid w:val="00E004B2"/>
    <w:rsid w:val="00E01EF1"/>
    <w:rsid w:val="00E03636"/>
    <w:rsid w:val="00E04E23"/>
    <w:rsid w:val="00E11036"/>
    <w:rsid w:val="00E11339"/>
    <w:rsid w:val="00E11A51"/>
    <w:rsid w:val="00E11E49"/>
    <w:rsid w:val="00E12291"/>
    <w:rsid w:val="00E14389"/>
    <w:rsid w:val="00E149AD"/>
    <w:rsid w:val="00E16730"/>
    <w:rsid w:val="00E17E1D"/>
    <w:rsid w:val="00E225B4"/>
    <w:rsid w:val="00E22ADD"/>
    <w:rsid w:val="00E22E3B"/>
    <w:rsid w:val="00E31227"/>
    <w:rsid w:val="00E316B5"/>
    <w:rsid w:val="00E31A57"/>
    <w:rsid w:val="00E324AB"/>
    <w:rsid w:val="00E33F0A"/>
    <w:rsid w:val="00E413F4"/>
    <w:rsid w:val="00E43281"/>
    <w:rsid w:val="00E43B4B"/>
    <w:rsid w:val="00E45AE7"/>
    <w:rsid w:val="00E4629F"/>
    <w:rsid w:val="00E46C82"/>
    <w:rsid w:val="00E51E3D"/>
    <w:rsid w:val="00E520E2"/>
    <w:rsid w:val="00E534FD"/>
    <w:rsid w:val="00E55951"/>
    <w:rsid w:val="00E55EFC"/>
    <w:rsid w:val="00E56D19"/>
    <w:rsid w:val="00E62F41"/>
    <w:rsid w:val="00E63D2C"/>
    <w:rsid w:val="00E70F94"/>
    <w:rsid w:val="00E71385"/>
    <w:rsid w:val="00E72C87"/>
    <w:rsid w:val="00E73941"/>
    <w:rsid w:val="00E747F7"/>
    <w:rsid w:val="00E75B32"/>
    <w:rsid w:val="00E77B07"/>
    <w:rsid w:val="00E80887"/>
    <w:rsid w:val="00E81F86"/>
    <w:rsid w:val="00E8255A"/>
    <w:rsid w:val="00E83848"/>
    <w:rsid w:val="00E860A5"/>
    <w:rsid w:val="00E860D6"/>
    <w:rsid w:val="00E864CF"/>
    <w:rsid w:val="00E90617"/>
    <w:rsid w:val="00E921F2"/>
    <w:rsid w:val="00E9436B"/>
    <w:rsid w:val="00E968C6"/>
    <w:rsid w:val="00EA2FA5"/>
    <w:rsid w:val="00EA4644"/>
    <w:rsid w:val="00EA5E2A"/>
    <w:rsid w:val="00EA6B6D"/>
    <w:rsid w:val="00EA7E0D"/>
    <w:rsid w:val="00EB1CCC"/>
    <w:rsid w:val="00EB3576"/>
    <w:rsid w:val="00EB368B"/>
    <w:rsid w:val="00EB49B8"/>
    <w:rsid w:val="00EB4F0A"/>
    <w:rsid w:val="00EB609D"/>
    <w:rsid w:val="00EB6FB2"/>
    <w:rsid w:val="00EB7F67"/>
    <w:rsid w:val="00EC0055"/>
    <w:rsid w:val="00EC01FC"/>
    <w:rsid w:val="00EC08FC"/>
    <w:rsid w:val="00EC61BD"/>
    <w:rsid w:val="00EC62AC"/>
    <w:rsid w:val="00EC6BA8"/>
    <w:rsid w:val="00ED0203"/>
    <w:rsid w:val="00ED2096"/>
    <w:rsid w:val="00ED580C"/>
    <w:rsid w:val="00ED6081"/>
    <w:rsid w:val="00ED6CD1"/>
    <w:rsid w:val="00EE2D1D"/>
    <w:rsid w:val="00EE2F29"/>
    <w:rsid w:val="00EE5A45"/>
    <w:rsid w:val="00EE6B21"/>
    <w:rsid w:val="00EE6D95"/>
    <w:rsid w:val="00EE7C5F"/>
    <w:rsid w:val="00EF0C34"/>
    <w:rsid w:val="00EF0FD4"/>
    <w:rsid w:val="00EF16EC"/>
    <w:rsid w:val="00EF1B8E"/>
    <w:rsid w:val="00EF3C11"/>
    <w:rsid w:val="00EF3CA5"/>
    <w:rsid w:val="00EF4F31"/>
    <w:rsid w:val="00EF6C3B"/>
    <w:rsid w:val="00EF70E0"/>
    <w:rsid w:val="00EF71AF"/>
    <w:rsid w:val="00EF78C2"/>
    <w:rsid w:val="00F00B90"/>
    <w:rsid w:val="00F02FDA"/>
    <w:rsid w:val="00F04D8E"/>
    <w:rsid w:val="00F10B29"/>
    <w:rsid w:val="00F12A55"/>
    <w:rsid w:val="00F12F78"/>
    <w:rsid w:val="00F25399"/>
    <w:rsid w:val="00F2614B"/>
    <w:rsid w:val="00F266E8"/>
    <w:rsid w:val="00F26F95"/>
    <w:rsid w:val="00F27D03"/>
    <w:rsid w:val="00F27F95"/>
    <w:rsid w:val="00F308F9"/>
    <w:rsid w:val="00F323B3"/>
    <w:rsid w:val="00F3318B"/>
    <w:rsid w:val="00F36746"/>
    <w:rsid w:val="00F402BA"/>
    <w:rsid w:val="00F41234"/>
    <w:rsid w:val="00F418B8"/>
    <w:rsid w:val="00F418E8"/>
    <w:rsid w:val="00F432E2"/>
    <w:rsid w:val="00F439E6"/>
    <w:rsid w:val="00F442CD"/>
    <w:rsid w:val="00F50A47"/>
    <w:rsid w:val="00F544B4"/>
    <w:rsid w:val="00F544C5"/>
    <w:rsid w:val="00F545A6"/>
    <w:rsid w:val="00F60353"/>
    <w:rsid w:val="00F6134E"/>
    <w:rsid w:val="00F62B44"/>
    <w:rsid w:val="00F6511B"/>
    <w:rsid w:val="00F7581F"/>
    <w:rsid w:val="00F7742D"/>
    <w:rsid w:val="00F774A7"/>
    <w:rsid w:val="00F80B53"/>
    <w:rsid w:val="00F8136C"/>
    <w:rsid w:val="00F8198D"/>
    <w:rsid w:val="00F820A5"/>
    <w:rsid w:val="00F82D30"/>
    <w:rsid w:val="00F83382"/>
    <w:rsid w:val="00F838F1"/>
    <w:rsid w:val="00F84E51"/>
    <w:rsid w:val="00F869E2"/>
    <w:rsid w:val="00F8735F"/>
    <w:rsid w:val="00F9133C"/>
    <w:rsid w:val="00F91792"/>
    <w:rsid w:val="00F91DE5"/>
    <w:rsid w:val="00F927D0"/>
    <w:rsid w:val="00F9519D"/>
    <w:rsid w:val="00FA214C"/>
    <w:rsid w:val="00FA4BEA"/>
    <w:rsid w:val="00FA52F7"/>
    <w:rsid w:val="00FA544E"/>
    <w:rsid w:val="00FB39B1"/>
    <w:rsid w:val="00FB632B"/>
    <w:rsid w:val="00FB644D"/>
    <w:rsid w:val="00FC03A0"/>
    <w:rsid w:val="00FC25C5"/>
    <w:rsid w:val="00FC37C6"/>
    <w:rsid w:val="00FC3E9D"/>
    <w:rsid w:val="00FC5633"/>
    <w:rsid w:val="00FC5935"/>
    <w:rsid w:val="00FD0CD7"/>
    <w:rsid w:val="00FD10C3"/>
    <w:rsid w:val="00FD1443"/>
    <w:rsid w:val="00FD46C3"/>
    <w:rsid w:val="00FD58D1"/>
    <w:rsid w:val="00FD6A85"/>
    <w:rsid w:val="00FD6C30"/>
    <w:rsid w:val="00FD73FE"/>
    <w:rsid w:val="00FE4BBE"/>
    <w:rsid w:val="00FE5469"/>
    <w:rsid w:val="00FE6A11"/>
    <w:rsid w:val="00FE7464"/>
    <w:rsid w:val="00FF03E0"/>
    <w:rsid w:val="00FF088E"/>
    <w:rsid w:val="00FF0F83"/>
    <w:rsid w:val="00FF150F"/>
    <w:rsid w:val="00FF2CCD"/>
    <w:rsid w:val="00FF334A"/>
    <w:rsid w:val="00FF49AA"/>
    <w:rsid w:val="00FF562E"/>
    <w:rsid w:val="00FF7A05"/>
    <w:rsid w:val="0E3560B3"/>
    <w:rsid w:val="0EFF3BC5"/>
    <w:rsid w:val="0F5027EF"/>
    <w:rsid w:val="0FFEC465"/>
    <w:rsid w:val="148E2D5A"/>
    <w:rsid w:val="14927700"/>
    <w:rsid w:val="1FC739CB"/>
    <w:rsid w:val="22397B82"/>
    <w:rsid w:val="257F4D51"/>
    <w:rsid w:val="2DEE3620"/>
    <w:rsid w:val="2F697C4D"/>
    <w:rsid w:val="32DFBC88"/>
    <w:rsid w:val="33FF2451"/>
    <w:rsid w:val="34F95705"/>
    <w:rsid w:val="3935203B"/>
    <w:rsid w:val="3A8D565D"/>
    <w:rsid w:val="3AFFD47A"/>
    <w:rsid w:val="3B6848F8"/>
    <w:rsid w:val="3C7F64FE"/>
    <w:rsid w:val="3D5E7204"/>
    <w:rsid w:val="3DA7F4EA"/>
    <w:rsid w:val="3DFB4236"/>
    <w:rsid w:val="3EDFFA22"/>
    <w:rsid w:val="3FBB6AF2"/>
    <w:rsid w:val="3FE96F28"/>
    <w:rsid w:val="3FFA418B"/>
    <w:rsid w:val="474F5615"/>
    <w:rsid w:val="4AB4385D"/>
    <w:rsid w:val="4C0F7466"/>
    <w:rsid w:val="4D16120A"/>
    <w:rsid w:val="4F9B1FF4"/>
    <w:rsid w:val="4FDF2A2A"/>
    <w:rsid w:val="53AF641D"/>
    <w:rsid w:val="55AFEB27"/>
    <w:rsid w:val="57C66D25"/>
    <w:rsid w:val="57F070D4"/>
    <w:rsid w:val="5AFB4F33"/>
    <w:rsid w:val="5BCE3F2E"/>
    <w:rsid w:val="5DEFE7CA"/>
    <w:rsid w:val="5EEC465B"/>
    <w:rsid w:val="5EFBC9DA"/>
    <w:rsid w:val="5FD63446"/>
    <w:rsid w:val="63DE7330"/>
    <w:rsid w:val="65601522"/>
    <w:rsid w:val="677F4378"/>
    <w:rsid w:val="67EE50F4"/>
    <w:rsid w:val="6B273175"/>
    <w:rsid w:val="6E5842B1"/>
    <w:rsid w:val="6E76AC54"/>
    <w:rsid w:val="6EE7EA1E"/>
    <w:rsid w:val="6F7B08C1"/>
    <w:rsid w:val="6F9EEC4E"/>
    <w:rsid w:val="6FB80ED2"/>
    <w:rsid w:val="6FEF1B0B"/>
    <w:rsid w:val="6FF718CB"/>
    <w:rsid w:val="6FFCEF77"/>
    <w:rsid w:val="6FFFC2F7"/>
    <w:rsid w:val="75DB5280"/>
    <w:rsid w:val="77E91B18"/>
    <w:rsid w:val="78F372D6"/>
    <w:rsid w:val="79B5B7EF"/>
    <w:rsid w:val="79CD36E6"/>
    <w:rsid w:val="7AFB3F15"/>
    <w:rsid w:val="7BEFBB4E"/>
    <w:rsid w:val="7BFFD708"/>
    <w:rsid w:val="7BFFDA66"/>
    <w:rsid w:val="7CBD9BB4"/>
    <w:rsid w:val="7DCEFCC9"/>
    <w:rsid w:val="7E7FE8BF"/>
    <w:rsid w:val="7F27FCD1"/>
    <w:rsid w:val="7F2F4DF5"/>
    <w:rsid w:val="7F3F8E29"/>
    <w:rsid w:val="7F6F0643"/>
    <w:rsid w:val="7F7DF416"/>
    <w:rsid w:val="7F7FBA83"/>
    <w:rsid w:val="7F9C0B5C"/>
    <w:rsid w:val="7FDFB483"/>
    <w:rsid w:val="7FE7317F"/>
    <w:rsid w:val="7FF3B193"/>
    <w:rsid w:val="7FF74E12"/>
    <w:rsid w:val="7FF7A34D"/>
    <w:rsid w:val="7FFFB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87D0A3-C71B-481B-B041-4F37E1D3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nhideWhenUsed/>
    <w:qFormat/>
    <w:rPr>
      <w:b/>
      <w:bCs/>
    </w:rPr>
  </w:style>
  <w:style w:type="character" w:styleId="a8">
    <w:name w:val="annotation reference"/>
    <w:basedOn w:val="a0"/>
    <w:unhideWhenUsed/>
    <w:qFormat/>
    <w:rPr>
      <w:sz w:val="21"/>
      <w:szCs w:val="21"/>
    </w:rPr>
  </w:style>
  <w:style w:type="paragraph" w:customStyle="1" w:styleId="1">
    <w:name w:val="列表段落1"/>
    <w:basedOn w:val="a"/>
    <w:uiPriority w:val="99"/>
    <w:qFormat/>
    <w:pPr>
      <w:ind w:firstLineChars="200" w:firstLine="420"/>
    </w:pPr>
  </w:style>
  <w:style w:type="paragraph" w:customStyle="1" w:styleId="10">
    <w:name w:val="修订1"/>
    <w:hidden/>
    <w:uiPriority w:val="99"/>
    <w:semiHidden/>
    <w:qFormat/>
    <w:rPr>
      <w:rFonts w:ascii="Calibri" w:hAnsi="Calibri" w:cs="黑体"/>
      <w:kern w:val="2"/>
      <w:sz w:val="21"/>
      <w:szCs w:val="24"/>
    </w:rPr>
  </w:style>
  <w:style w:type="character" w:customStyle="1" w:styleId="Char2">
    <w:name w:val="页眉 Char"/>
    <w:basedOn w:val="a0"/>
    <w:link w:val="a6"/>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0">
    <w:name w:val="批注框文本 Char"/>
    <w:basedOn w:val="a0"/>
    <w:link w:val="a4"/>
    <w:qFormat/>
    <w:rPr>
      <w:kern w:val="2"/>
      <w:sz w:val="18"/>
      <w:szCs w:val="18"/>
    </w:rPr>
  </w:style>
  <w:style w:type="character" w:customStyle="1" w:styleId="Char">
    <w:name w:val="批注文字 Char"/>
    <w:basedOn w:val="a0"/>
    <w:link w:val="a3"/>
    <w:semiHidden/>
    <w:qFormat/>
    <w:rPr>
      <w:rFonts w:ascii="Calibri" w:eastAsia="宋体" w:hAnsi="Calibri" w:cs="黑体"/>
      <w:kern w:val="2"/>
      <w:sz w:val="21"/>
      <w:szCs w:val="24"/>
    </w:rPr>
  </w:style>
  <w:style w:type="character" w:customStyle="1" w:styleId="Char3">
    <w:name w:val="批注主题 Char"/>
    <w:basedOn w:val="Char"/>
    <w:link w:val="a7"/>
    <w:qFormat/>
    <w:rPr>
      <w:rFonts w:ascii="Calibri" w:eastAsia="宋体" w:hAnsi="Calibri" w:cs="黑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1685</Words>
  <Characters>9606</Characters>
  <Application>Microsoft Office Word</Application>
  <DocSecurity>0</DocSecurity>
  <Lines>80</Lines>
  <Paragraphs>22</Paragraphs>
  <ScaleCrop>false</ScaleCrop>
  <Company/>
  <LinksUpToDate>false</LinksUpToDate>
  <CharactersWithSpaces>11269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金融控股公司关联交易管理办法</dc:title>
  <dc:creator>ch3ch</dc:creator>
  <cp:lastModifiedBy>yy</cp:lastModifiedBy>
  <cp:revision>8</cp:revision>
  <cp:lastPrinted>2022-08-18T02:01:00Z</cp:lastPrinted>
  <dcterms:created xsi:type="dcterms:W3CDTF">2022-01-25T06:33:00Z</dcterms:created>
  <dcterms:modified xsi:type="dcterms:W3CDTF">2022-08-29T07:49:00Z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