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华文中宋" w:hAnsi="华文中宋" w:eastAsia="华文中宋"/>
          <w:b/>
          <w:bCs/>
          <w:sz w:val="44"/>
          <w:szCs w:val="44"/>
          <w:lang w:val="en-US" w:eastAsia="zh-CN"/>
        </w:rPr>
      </w:pPr>
      <w:bookmarkStart w:id="0" w:name="_GoBack"/>
      <w:bookmarkEnd w:id="0"/>
      <w:r>
        <w:rPr>
          <w:rFonts w:hint="eastAsia" w:ascii="华文中宋" w:hAnsi="华文中宋" w:eastAsia="华文中宋"/>
          <w:b/>
          <w:bCs/>
          <w:sz w:val="44"/>
          <w:szCs w:val="44"/>
          <w:lang w:val="en-US" w:eastAsia="zh-CN"/>
        </w:rPr>
        <w:t xml:space="preserve">                                                                  </w:t>
      </w:r>
    </w:p>
    <w:p>
      <w:pPr>
        <w:spacing w:line="600" w:lineRule="exact"/>
        <w:jc w:val="center"/>
        <w:rPr>
          <w:rFonts w:ascii="华文中宋" w:hAnsi="华文中宋" w:eastAsia="华文中宋"/>
          <w:b/>
          <w:bCs/>
          <w:sz w:val="44"/>
          <w:szCs w:val="44"/>
        </w:rPr>
      </w:pPr>
    </w:p>
    <w:p>
      <w:pPr>
        <w:spacing w:line="600" w:lineRule="exact"/>
        <w:jc w:val="center"/>
        <w:rPr>
          <w:rFonts w:ascii="华文中宋" w:hAnsi="华文中宋" w:eastAsia="华文中宋"/>
          <w:b/>
          <w:bCs/>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行政复议指导性案例工作规定</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spacing w:line="600" w:lineRule="exact"/>
        <w:ind w:firstLine="640" w:firstLineChars="200"/>
        <w:rPr>
          <w:rFonts w:ascii="仿宋_GB2312" w:eastAsia="仿宋_GB2312"/>
          <w:sz w:val="32"/>
          <w:szCs w:val="32"/>
        </w:rPr>
      </w:pPr>
    </w:p>
    <w:p>
      <w:pPr>
        <w:pStyle w:val="13"/>
        <w:numPr>
          <w:ilvl w:val="-1"/>
          <w:numId w:val="0"/>
        </w:numPr>
        <w:spacing w:line="600" w:lineRule="exact"/>
        <w:ind w:left="0" w:leftChars="0" w:firstLine="640"/>
        <w:rPr>
          <w:rFonts w:ascii="仿宋_GB2312" w:eastAsia="仿宋_GB2312"/>
          <w:sz w:val="32"/>
          <w:szCs w:val="32"/>
        </w:rPr>
      </w:pPr>
      <w:r>
        <w:rPr>
          <w:rFonts w:hint="eastAsia" w:ascii="黑体" w:eastAsia="黑体"/>
          <w:color w:val="auto"/>
          <w:sz w:val="32"/>
          <w:szCs w:val="32"/>
          <w:lang w:eastAsia="zh-CN"/>
        </w:rPr>
        <w:t>第一条</w:t>
      </w:r>
      <w:r>
        <w:rPr>
          <w:rFonts w:hint="eastAsia" w:ascii="黑体" w:eastAsia="黑体"/>
          <w:color w:val="auto"/>
          <w:sz w:val="32"/>
          <w:szCs w:val="32"/>
          <w:lang w:val="en-US" w:eastAsia="zh-CN"/>
        </w:rPr>
        <w:t xml:space="preserve"> </w:t>
      </w:r>
      <w:r>
        <w:rPr>
          <w:rFonts w:hint="eastAsia" w:ascii="仿宋_GB2312" w:eastAsia="仿宋_GB2312"/>
          <w:sz w:val="32"/>
          <w:szCs w:val="32"/>
        </w:rPr>
        <w:t>（目的依据）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为规范和加强行政复议指导性案例工作，</w:t>
      </w:r>
      <w:r>
        <w:rPr>
          <w:rFonts w:hint="eastAsia" w:ascii="仿宋_GB2312" w:eastAsia="仿宋_GB2312"/>
          <w:sz w:val="32"/>
          <w:szCs w:val="32"/>
          <w:lang w:eastAsia="zh-CN"/>
        </w:rPr>
        <w:t>充分发挥行政复议指导性案例（以下称指导性案例）对行政复议</w:t>
      </w:r>
      <w:r>
        <w:rPr>
          <w:rFonts w:hint="eastAsia" w:ascii="仿宋_GB2312" w:eastAsia="仿宋_GB2312"/>
          <w:sz w:val="32"/>
          <w:szCs w:val="32"/>
          <w:lang w:val="en-US" w:eastAsia="zh-CN"/>
        </w:rPr>
        <w:t>案件</w:t>
      </w:r>
      <w:r>
        <w:rPr>
          <w:rFonts w:hint="eastAsia" w:ascii="仿宋_GB2312" w:eastAsia="仿宋_GB2312"/>
          <w:sz w:val="32"/>
          <w:szCs w:val="32"/>
          <w:lang w:eastAsia="zh-CN"/>
        </w:rPr>
        <w:t>办理工作的</w:t>
      </w:r>
      <w:r>
        <w:rPr>
          <w:rFonts w:hint="eastAsia" w:ascii="仿宋_GB2312" w:eastAsia="仿宋_GB2312"/>
          <w:sz w:val="32"/>
          <w:szCs w:val="32"/>
          <w:highlight w:val="none"/>
          <w:lang w:eastAsia="zh-CN"/>
        </w:rPr>
        <w:t>示范指引</w:t>
      </w:r>
      <w:r>
        <w:rPr>
          <w:rFonts w:hint="eastAsia" w:ascii="仿宋_GB2312" w:eastAsia="仿宋_GB2312"/>
          <w:sz w:val="32"/>
          <w:szCs w:val="32"/>
          <w:lang w:eastAsia="zh-CN"/>
        </w:rPr>
        <w:t>作用，</w:t>
      </w:r>
      <w:r>
        <w:rPr>
          <w:rFonts w:hint="eastAsia" w:ascii="仿宋_GB2312" w:eastAsia="仿宋_GB2312"/>
          <w:sz w:val="32"/>
          <w:szCs w:val="32"/>
        </w:rPr>
        <w:t>提升行政复议办</w:t>
      </w:r>
      <w:r>
        <w:rPr>
          <w:rFonts w:hint="eastAsia" w:ascii="仿宋_GB2312" w:eastAsia="仿宋_GB2312"/>
          <w:sz w:val="32"/>
          <w:szCs w:val="32"/>
          <w:lang w:eastAsia="zh-CN"/>
        </w:rPr>
        <w:t>案质效</w:t>
      </w:r>
      <w:r>
        <w:rPr>
          <w:rFonts w:hint="eastAsia" w:ascii="仿宋_GB2312" w:eastAsia="仿宋_GB2312"/>
          <w:sz w:val="32"/>
          <w:szCs w:val="32"/>
        </w:rPr>
        <w:t>，</w:t>
      </w:r>
      <w:r>
        <w:rPr>
          <w:rFonts w:hint="eastAsia" w:ascii="仿宋_GB2312" w:eastAsia="仿宋_GB2312"/>
          <w:sz w:val="32"/>
          <w:szCs w:val="32"/>
          <w:lang w:eastAsia="zh-CN"/>
        </w:rPr>
        <w:t>保障法律正确统一实施，</w:t>
      </w:r>
      <w:r>
        <w:rPr>
          <w:rFonts w:hint="eastAsia" w:ascii="仿宋_GB2312" w:eastAsia="仿宋_GB2312"/>
          <w:sz w:val="32"/>
          <w:szCs w:val="32"/>
        </w:rPr>
        <w:t>根据《中华人民共和国行政复议法》，制定本规定。</w:t>
      </w:r>
    </w:p>
    <w:p>
      <w:pPr>
        <w:numPr>
          <w:ilvl w:val="-1"/>
          <w:numId w:val="0"/>
        </w:numPr>
        <w:spacing w:line="600" w:lineRule="exact"/>
        <w:ind w:firstLine="640" w:firstLineChars="200"/>
        <w:rPr>
          <w:rFonts w:hint="eastAsia" w:ascii="仿宋_GB2312" w:eastAsia="仿宋_GB2312"/>
          <w:sz w:val="32"/>
          <w:szCs w:val="32"/>
        </w:rPr>
      </w:pPr>
      <w:r>
        <w:rPr>
          <w:rFonts w:hint="eastAsia" w:ascii="黑体" w:eastAsia="黑体"/>
          <w:sz w:val="32"/>
          <w:szCs w:val="32"/>
          <w:lang w:eastAsia="zh-CN"/>
        </w:rPr>
        <w:t>第二条</w:t>
      </w:r>
      <w:r>
        <w:rPr>
          <w:rFonts w:hint="eastAsia" w:ascii="黑体" w:eastAsia="黑体"/>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条件）</w:t>
      </w:r>
    </w:p>
    <w:p>
      <w:pPr>
        <w:numPr>
          <w:ilvl w:val="-1"/>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指导性案例应当符合以下条件：</w:t>
      </w:r>
    </w:p>
    <w:p>
      <w:pPr>
        <w:numPr>
          <w:ilvl w:val="-1"/>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（一）行政复议决定书、调解书、意见书等法律文书已经发生法律效力；</w:t>
      </w:r>
    </w:p>
    <w:p>
      <w:pPr>
        <w:numPr>
          <w:ilvl w:val="-1"/>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hAnsiTheme="minorHAnsi" w:cstheme="minorBidi"/>
          <w:sz w:val="32"/>
          <w:szCs w:val="32"/>
          <w:lang w:val="en-US" w:eastAsia="zh-CN"/>
        </w:rPr>
        <w:t>办理</w:t>
      </w:r>
      <w:r>
        <w:rPr>
          <w:rFonts w:hint="eastAsia" w:ascii="仿宋_GB2312" w:eastAsia="仿宋_GB2312"/>
          <w:sz w:val="32"/>
          <w:szCs w:val="32"/>
          <w:lang w:eastAsia="zh-CN"/>
        </w:rPr>
        <w:t>结果正确、办案程序合法；</w:t>
      </w:r>
    </w:p>
    <w:p>
      <w:pPr>
        <w:numPr>
          <w:ilvl w:val="-1"/>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（三）在事实认定、法律适用、政策把握、办案方法等方面对办理类似行政复议案件具有指导意义；</w:t>
      </w:r>
    </w:p>
    <w:p>
      <w:pPr>
        <w:numPr>
          <w:ilvl w:val="-1"/>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（四）体现行政复议监督依法行政、实质性化解行政争议的良好效能，实现政治效果、</w:t>
      </w:r>
      <w:r>
        <w:rPr>
          <w:rFonts w:hint="eastAsia" w:ascii="仿宋_GB2312" w:eastAsia="仿宋_GB2312"/>
          <w:sz w:val="32"/>
          <w:szCs w:val="32"/>
        </w:rPr>
        <w:t>法律效果与社会效果</w:t>
      </w:r>
      <w:r>
        <w:rPr>
          <w:rFonts w:hint="eastAsia" w:ascii="仿宋_GB2312" w:eastAsia="仿宋_GB2312"/>
          <w:sz w:val="32"/>
          <w:szCs w:val="32"/>
          <w:lang w:eastAsia="zh-CN"/>
        </w:rPr>
        <w:t>有机统一。</w:t>
      </w:r>
    </w:p>
    <w:p>
      <w:pPr>
        <w:spacing w:line="600" w:lineRule="exact"/>
        <w:ind w:firstLine="640" w:firstLineChars="200"/>
        <w:rPr>
          <w:rFonts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三</w:t>
      </w:r>
      <w:r>
        <w:rPr>
          <w:rFonts w:hint="eastAsia" w:ascii="黑体" w:eastAsia="黑体"/>
          <w:sz w:val="32"/>
          <w:szCs w:val="32"/>
        </w:rPr>
        <w:t>条</w:t>
      </w:r>
      <w:r>
        <w:rPr>
          <w:rFonts w:hint="eastAsia" w:ascii="仿宋_GB2312" w:eastAsia="仿宋_GB2312"/>
          <w:sz w:val="32"/>
          <w:szCs w:val="32"/>
        </w:rPr>
        <w:t xml:space="preserve"> （工作原则）</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指导性案例工作应当坚持</w:t>
      </w:r>
      <w:r>
        <w:rPr>
          <w:rFonts w:hint="eastAsia" w:ascii="仿宋_GB2312" w:eastAsia="仿宋_GB2312"/>
          <w:sz w:val="32"/>
          <w:szCs w:val="32"/>
          <w:lang w:eastAsia="zh-CN"/>
        </w:rPr>
        <w:t>正确的政治方向，推动发挥行政复议化解行政争议的主渠道作用；坚持问题导向，指导解决行政复议办理实践中的共性问题，促进同案同判；坚持规则引领和价值导向，为法治政府建设和高质量发展提供支撑和保障。</w:t>
      </w:r>
    </w:p>
    <w:p>
      <w:pPr>
        <w:spacing w:line="600" w:lineRule="exact"/>
        <w:ind w:firstLine="640" w:firstLineChars="200"/>
        <w:rPr>
          <w:rFonts w:ascii="仿宋_GB2312" w:eastAsia="仿宋_GB2312"/>
          <w:sz w:val="32"/>
          <w:szCs w:val="32"/>
        </w:rPr>
      </w:pPr>
      <w:r>
        <w:rPr>
          <w:rFonts w:hint="eastAsia" w:ascii="黑体" w:eastAsia="黑体"/>
          <w:sz w:val="32"/>
          <w:szCs w:val="32"/>
        </w:rPr>
        <w:t>第</w:t>
      </w:r>
      <w:r>
        <w:rPr>
          <w:rFonts w:hint="eastAsia" w:ascii="黑体" w:eastAsia="黑体"/>
          <w:sz w:val="32"/>
          <w:szCs w:val="32"/>
          <w:lang w:eastAsia="zh-CN"/>
        </w:rPr>
        <w:t>四</w:t>
      </w:r>
      <w:r>
        <w:rPr>
          <w:rFonts w:hint="eastAsia" w:ascii="黑体" w:eastAsia="黑体"/>
          <w:sz w:val="32"/>
          <w:szCs w:val="32"/>
        </w:rPr>
        <w:t>条</w:t>
      </w:r>
      <w:r>
        <w:rPr>
          <w:rFonts w:hint="eastAsia" w:ascii="仿宋_GB2312" w:eastAsia="仿宋_GB2312"/>
          <w:sz w:val="32"/>
          <w:szCs w:val="32"/>
        </w:rPr>
        <w:t xml:space="preserve"> （管理体制）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指导性案例由司法部统一发布。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司法部行政复议与应诉</w:t>
      </w:r>
      <w:r>
        <w:rPr>
          <w:rFonts w:hint="eastAsia" w:ascii="仿宋_GB2312" w:eastAsia="仿宋_GB2312"/>
          <w:sz w:val="32"/>
          <w:szCs w:val="32"/>
          <w:lang w:eastAsia="zh-CN"/>
        </w:rPr>
        <w:t>局</w:t>
      </w:r>
      <w:r>
        <w:rPr>
          <w:rFonts w:hint="eastAsia" w:ascii="仿宋_GB2312" w:eastAsia="仿宋_GB2312"/>
          <w:sz w:val="32"/>
          <w:szCs w:val="32"/>
        </w:rPr>
        <w:t>具体负责组织开展指导性案例工作。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各省级人民政府行政复议机构以及根据《中华人民共和国行政复议法》第二十五条、第二十七条履行行政复议职</w:t>
      </w:r>
      <w:r>
        <w:rPr>
          <w:rFonts w:hint="eastAsia" w:ascii="仿宋_GB2312" w:eastAsia="仿宋_GB2312"/>
          <w:sz w:val="32"/>
          <w:szCs w:val="32"/>
          <w:lang w:eastAsia="zh-CN"/>
        </w:rPr>
        <w:t>责</w:t>
      </w:r>
      <w:r>
        <w:rPr>
          <w:rFonts w:hint="eastAsia" w:ascii="仿宋_GB2312" w:eastAsia="仿宋_GB2312"/>
          <w:sz w:val="32"/>
          <w:szCs w:val="32"/>
        </w:rPr>
        <w:t>的国务院部门</w:t>
      </w:r>
      <w:r>
        <w:rPr>
          <w:rFonts w:hint="eastAsia" w:ascii="仿宋_GB2312" w:eastAsia="仿宋_GB2312"/>
          <w:sz w:val="32"/>
          <w:szCs w:val="32"/>
          <w:lang w:eastAsia="zh-CN"/>
        </w:rPr>
        <w:t>行政</w:t>
      </w:r>
      <w:r>
        <w:rPr>
          <w:rFonts w:hint="eastAsia" w:ascii="仿宋_GB2312" w:eastAsia="仿宋_GB2312"/>
          <w:sz w:val="32"/>
          <w:szCs w:val="32"/>
        </w:rPr>
        <w:t>复议机构负责本地区、本系统指导性案例的</w:t>
      </w:r>
      <w:r>
        <w:rPr>
          <w:rFonts w:hint="eastAsia" w:ascii="仿宋_GB2312" w:eastAsia="仿宋_GB2312"/>
          <w:sz w:val="32"/>
          <w:szCs w:val="32"/>
          <w:lang w:eastAsia="zh-CN"/>
        </w:rPr>
        <w:t>推荐报送</w:t>
      </w:r>
      <w:r>
        <w:rPr>
          <w:rFonts w:hint="eastAsia" w:ascii="仿宋_GB2312" w:eastAsia="仿宋_GB2312"/>
          <w:sz w:val="32"/>
          <w:szCs w:val="32"/>
        </w:rPr>
        <w:t>、学习培训、应用指导等相关工作。</w:t>
      </w:r>
    </w:p>
    <w:p>
      <w:pPr>
        <w:spacing w:line="600" w:lineRule="exact"/>
        <w:ind w:firstLine="640" w:firstLineChars="200"/>
        <w:rPr>
          <w:rFonts w:ascii="仿宋_GB2312" w:eastAsia="仿宋_GB2312"/>
          <w:b/>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ascii="仿宋_GB2312" w:eastAsia="仿宋_GB2312"/>
          <w:b/>
          <w:sz w:val="32"/>
          <w:szCs w:val="32"/>
        </w:rPr>
        <w:t xml:space="preserve"> </w:t>
      </w:r>
      <w:r>
        <w:rPr>
          <w:rFonts w:hint="eastAsia" w:ascii="仿宋_GB2312" w:eastAsia="仿宋_GB2312"/>
          <w:sz w:val="32"/>
          <w:szCs w:val="32"/>
        </w:rPr>
        <w:t>（体例要求）</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指导性</w:t>
      </w:r>
      <w:r>
        <w:rPr>
          <w:rFonts w:hint="eastAsia" w:ascii="仿宋_GB2312" w:eastAsia="仿宋_GB2312"/>
          <w:sz w:val="32"/>
          <w:szCs w:val="32"/>
        </w:rPr>
        <w:t>案例文本包括标题、关键词、审理要旨、基本案情、</w:t>
      </w:r>
      <w:r>
        <w:rPr>
          <w:rFonts w:hint="eastAsia" w:ascii="仿宋_GB2312" w:eastAsia="仿宋_GB2312"/>
          <w:sz w:val="32"/>
          <w:szCs w:val="32"/>
          <w:lang w:eastAsia="zh-CN"/>
        </w:rPr>
        <w:t>复议办理</w:t>
      </w:r>
      <w:r>
        <w:rPr>
          <w:rFonts w:hint="eastAsia" w:ascii="仿宋_GB2312" w:eastAsia="仿宋_GB2312"/>
          <w:sz w:val="32"/>
          <w:szCs w:val="32"/>
        </w:rPr>
        <w:t>、</w:t>
      </w:r>
      <w:r>
        <w:rPr>
          <w:rFonts w:hint="eastAsia" w:ascii="仿宋_GB2312" w:eastAsia="仿宋_GB2312"/>
          <w:sz w:val="32"/>
          <w:szCs w:val="32"/>
          <w:lang w:eastAsia="zh-CN"/>
        </w:rPr>
        <w:t>指导意义、相关法条</w:t>
      </w:r>
      <w:r>
        <w:rPr>
          <w:rFonts w:hint="eastAsia" w:ascii="仿宋_GB2312" w:eastAsia="仿宋_GB2312"/>
          <w:sz w:val="32"/>
          <w:szCs w:val="32"/>
        </w:rPr>
        <w:t>等内容。</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rPr>
        <w:t>指导性案例的编写应当规范</w:t>
      </w:r>
      <w:r>
        <w:rPr>
          <w:rFonts w:hint="eastAsia" w:ascii="仿宋_GB2312" w:eastAsia="仿宋_GB2312"/>
          <w:sz w:val="32"/>
          <w:szCs w:val="32"/>
          <w:lang w:eastAsia="zh-CN"/>
        </w:rPr>
        <w:t>、完整</w:t>
      </w:r>
      <w:r>
        <w:rPr>
          <w:rFonts w:hint="eastAsia" w:ascii="仿宋_GB2312" w:eastAsia="仿宋_GB2312"/>
          <w:sz w:val="32"/>
          <w:szCs w:val="32"/>
        </w:rPr>
        <w:t>，突出对审理要旨的释法说理。</w:t>
      </w:r>
    </w:p>
    <w:p>
      <w:pPr>
        <w:spacing w:line="600" w:lineRule="exact"/>
        <w:ind w:firstLine="640" w:firstLineChars="200"/>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六</w:t>
      </w:r>
      <w:r>
        <w:rPr>
          <w:rFonts w:hint="eastAsia" w:ascii="黑体" w:hAnsi="黑体" w:eastAsia="黑体" w:cs="黑体"/>
          <w:bCs/>
          <w:sz w:val="32"/>
          <w:szCs w:val="32"/>
        </w:rPr>
        <w:t xml:space="preserve">条 </w:t>
      </w:r>
      <w:r>
        <w:rPr>
          <w:rFonts w:hint="eastAsia" w:ascii="仿宋_GB2312" w:eastAsia="仿宋_GB2312"/>
          <w:sz w:val="32"/>
          <w:szCs w:val="32"/>
        </w:rPr>
        <w:t>（报送</w:t>
      </w:r>
      <w:r>
        <w:rPr>
          <w:rFonts w:hint="eastAsia" w:ascii="仿宋_GB2312" w:eastAsia="仿宋_GB2312"/>
          <w:sz w:val="32"/>
          <w:szCs w:val="32"/>
          <w:lang w:val="en-US" w:eastAsia="zh-CN"/>
        </w:rPr>
        <w:t>时间及</w:t>
      </w:r>
      <w:r>
        <w:rPr>
          <w:rFonts w:hint="eastAsia" w:ascii="仿宋_GB2312" w:eastAsia="仿宋_GB2312"/>
          <w:sz w:val="32"/>
          <w:szCs w:val="32"/>
        </w:rPr>
        <w:t>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eastAsia="仿宋_GB2312"/>
          <w:sz w:val="32"/>
          <w:szCs w:val="32"/>
        </w:rPr>
        <w:t>省级</w:t>
      </w:r>
      <w:r>
        <w:rPr>
          <w:rFonts w:hint="eastAsia" w:ascii="仿宋_GB2312" w:eastAsia="仿宋_GB2312"/>
          <w:sz w:val="32"/>
          <w:szCs w:val="32"/>
          <w:lang w:eastAsia="zh-CN"/>
        </w:rPr>
        <w:t>人民</w:t>
      </w:r>
      <w:r>
        <w:rPr>
          <w:rFonts w:hint="eastAsia" w:ascii="仿宋_GB2312" w:eastAsia="仿宋_GB2312"/>
          <w:sz w:val="32"/>
          <w:szCs w:val="32"/>
        </w:rPr>
        <w:t>政府</w:t>
      </w:r>
      <w:r>
        <w:rPr>
          <w:rFonts w:hint="eastAsia" w:ascii="仿宋_GB2312" w:eastAsia="仿宋_GB2312"/>
          <w:sz w:val="32"/>
          <w:szCs w:val="32"/>
          <w:lang w:eastAsia="zh-CN"/>
        </w:rPr>
        <w:t>行政复议机构应当于每季度首月</w:t>
      </w:r>
      <w:r>
        <w:rPr>
          <w:rFonts w:hint="eastAsia" w:ascii="仿宋_GB2312" w:eastAsia="仿宋_GB2312"/>
          <w:sz w:val="32"/>
          <w:szCs w:val="32"/>
          <w:lang w:val="en-US" w:eastAsia="zh-CN"/>
        </w:rPr>
        <w:t>20日前</w:t>
      </w:r>
      <w:r>
        <w:rPr>
          <w:rFonts w:hint="eastAsia" w:ascii="仿宋_GB2312" w:eastAsia="仿宋_GB2312"/>
          <w:sz w:val="32"/>
          <w:szCs w:val="32"/>
          <w:lang w:eastAsia="zh-CN"/>
        </w:rPr>
        <w:t>向司法部报送推荐案例</w:t>
      </w:r>
      <w:r>
        <w:rPr>
          <w:rFonts w:hint="eastAsia" w:ascii="仿宋_GB2312" w:eastAsia="仿宋_GB2312"/>
          <w:sz w:val="32"/>
          <w:szCs w:val="32"/>
          <w:lang w:val="en-US" w:eastAsia="zh-CN"/>
        </w:rPr>
        <w:t>1-3件</w:t>
      </w:r>
      <w:r>
        <w:rPr>
          <w:rFonts w:hint="eastAsia" w:ascii="仿宋_GB2312" w:eastAsia="仿宋_GB2312"/>
          <w:sz w:val="32"/>
          <w:szCs w:val="32"/>
          <w:lang w:eastAsia="zh-CN"/>
        </w:rPr>
        <w:t>。</w:t>
      </w:r>
      <w:r>
        <w:rPr>
          <w:rFonts w:hint="eastAsia" w:ascii="仿宋_GB2312" w:eastAsia="仿宋_GB2312"/>
          <w:b w:val="0"/>
          <w:bCs w:val="0"/>
          <w:sz w:val="32"/>
          <w:szCs w:val="32"/>
        </w:rPr>
        <w:t>国务院部门行政复议机构</w:t>
      </w:r>
      <w:r>
        <w:rPr>
          <w:rFonts w:hint="eastAsia" w:ascii="仿宋_GB2312" w:eastAsia="仿宋_GB2312" w:hAnsiTheme="minorHAnsi" w:cstheme="minorBidi"/>
          <w:b w:val="0"/>
          <w:bCs w:val="0"/>
          <w:sz w:val="32"/>
          <w:szCs w:val="32"/>
          <w:lang w:val="en-US" w:eastAsia="zh-CN"/>
        </w:rPr>
        <w:t>根据</w:t>
      </w:r>
      <w:r>
        <w:rPr>
          <w:rFonts w:hint="eastAsia" w:ascii="仿宋_GB2312" w:eastAsia="仿宋_GB2312"/>
          <w:b w:val="0"/>
          <w:bCs w:val="0"/>
          <w:sz w:val="32"/>
          <w:szCs w:val="32"/>
        </w:rPr>
        <w:t>工作实际</w:t>
      </w:r>
      <w:r>
        <w:rPr>
          <w:rFonts w:hint="eastAsia" w:ascii="仿宋_GB2312" w:eastAsia="仿宋_GB2312"/>
          <w:sz w:val="32"/>
          <w:szCs w:val="32"/>
          <w:lang w:eastAsia="zh-CN"/>
        </w:rPr>
        <w:t>，向司法部报送推荐案例。</w:t>
      </w:r>
    </w:p>
    <w:p>
      <w:pPr>
        <w:spacing w:line="600" w:lineRule="exact"/>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对于没有进入行政诉讼程序的推荐案例，在法定起诉期限届满之后报送；对于进入行政诉讼程序的推荐案例，在人民法院判决或裁定发生法律效力后报送。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省级</w:t>
      </w:r>
      <w:r>
        <w:rPr>
          <w:rFonts w:hint="eastAsia" w:ascii="仿宋_GB2312" w:eastAsia="仿宋_GB2312"/>
          <w:b w:val="0"/>
          <w:bCs w:val="0"/>
          <w:sz w:val="32"/>
          <w:szCs w:val="32"/>
          <w:lang w:eastAsia="zh-CN"/>
        </w:rPr>
        <w:t>人民</w:t>
      </w:r>
      <w:r>
        <w:rPr>
          <w:rFonts w:hint="eastAsia" w:ascii="仿宋_GB2312" w:eastAsia="仿宋_GB2312"/>
          <w:sz w:val="32"/>
          <w:szCs w:val="32"/>
        </w:rPr>
        <w:t>政府</w:t>
      </w:r>
      <w:r>
        <w:rPr>
          <w:rFonts w:hint="eastAsia" w:ascii="仿宋_GB2312" w:eastAsia="仿宋_GB2312" w:hAnsiTheme="minorHAnsi" w:cstheme="minorBidi"/>
          <w:b w:val="0"/>
          <w:bCs w:val="0"/>
          <w:sz w:val="32"/>
          <w:szCs w:val="32"/>
        </w:rPr>
        <w:t>行政复议机构</w:t>
      </w:r>
      <w:r>
        <w:rPr>
          <w:rFonts w:hint="eastAsia" w:ascii="仿宋_GB2312" w:eastAsia="仿宋_GB2312"/>
          <w:sz w:val="32"/>
          <w:szCs w:val="32"/>
          <w:lang w:eastAsia="zh-CN"/>
        </w:rPr>
        <w:t>、国务院部门行政复议机构</w:t>
      </w:r>
      <w:r>
        <w:rPr>
          <w:rFonts w:hint="eastAsia" w:ascii="仿宋_GB2312" w:eastAsia="仿宋_GB2312"/>
          <w:sz w:val="32"/>
          <w:szCs w:val="32"/>
        </w:rPr>
        <w:t>对报送的推荐案例进行</w:t>
      </w:r>
      <w:r>
        <w:rPr>
          <w:rFonts w:hint="eastAsia" w:ascii="仿宋_GB2312" w:eastAsia="仿宋_GB2312"/>
          <w:sz w:val="32"/>
          <w:szCs w:val="32"/>
          <w:lang w:eastAsia="zh-CN"/>
        </w:rPr>
        <w:t>审核把关</w:t>
      </w:r>
      <w:r>
        <w:rPr>
          <w:rFonts w:hint="eastAsia" w:ascii="仿宋_GB2312" w:eastAsia="仿宋_GB2312"/>
          <w:sz w:val="32"/>
          <w:szCs w:val="32"/>
        </w:rPr>
        <w:t>，并</w:t>
      </w:r>
      <w:r>
        <w:rPr>
          <w:rFonts w:hint="eastAsia" w:ascii="仿宋_GB2312" w:eastAsia="仿宋_GB2312"/>
          <w:sz w:val="32"/>
          <w:szCs w:val="32"/>
          <w:lang w:eastAsia="zh-CN"/>
        </w:rPr>
        <w:t>应当</w:t>
      </w:r>
      <w:r>
        <w:rPr>
          <w:rFonts w:hint="eastAsia" w:ascii="仿宋_GB2312" w:eastAsia="仿宋_GB2312"/>
          <w:sz w:val="32"/>
          <w:szCs w:val="32"/>
        </w:rPr>
        <w:t>提交以下材料：</w:t>
      </w:r>
    </w:p>
    <w:p>
      <w:pPr>
        <w:pStyle w:val="13"/>
        <w:numPr>
          <w:ilvl w:val="-1"/>
          <w:numId w:val="0"/>
        </w:numPr>
        <w:spacing w:line="600" w:lineRule="exact"/>
        <w:ind w:left="0" w:leftChars="0" w:firstLine="640"/>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指导性案例推荐表；</w:t>
      </w:r>
    </w:p>
    <w:p>
      <w:pPr>
        <w:pStyle w:val="13"/>
        <w:numPr>
          <w:ilvl w:val="-1"/>
          <w:numId w:val="0"/>
        </w:numPr>
        <w:spacing w:line="600" w:lineRule="exact"/>
        <w:ind w:left="0" w:leftChars="0" w:firstLine="640"/>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按规定要求撰写的案例文本；</w:t>
      </w:r>
    </w:p>
    <w:p>
      <w:pPr>
        <w:pStyle w:val="13"/>
        <w:numPr>
          <w:ilvl w:val="-1"/>
          <w:numId w:val="0"/>
        </w:numPr>
        <w:spacing w:line="600" w:lineRule="exact"/>
        <w:ind w:left="0" w:leftChars="0" w:firstLine="640"/>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hAnsiTheme="minorHAnsi" w:cstheme="minorBidi"/>
          <w:b w:val="0"/>
          <w:bCs w:val="0"/>
          <w:kern w:val="2"/>
          <w:sz w:val="32"/>
          <w:szCs w:val="32"/>
          <w:lang w:val="en-US" w:eastAsia="zh-CN" w:bidi="ar-SA"/>
        </w:rPr>
        <w:t>行政复议决定书、</w:t>
      </w:r>
      <w:r>
        <w:rPr>
          <w:rFonts w:hint="eastAsia" w:ascii="仿宋_GB2312" w:eastAsia="仿宋_GB2312" w:hAnsiTheme="minorHAnsi" w:cstheme="minorBidi"/>
          <w:b w:val="0"/>
          <w:bCs w:val="0"/>
          <w:kern w:val="2"/>
          <w:sz w:val="32"/>
          <w:szCs w:val="32"/>
          <w:lang w:val="en-US" w:eastAsia="zh-CN" w:bidi="ar-SA"/>
        </w:rPr>
        <w:t>调解书、意见书等生效行政复议法律文书</w:t>
      </w:r>
      <w:r>
        <w:rPr>
          <w:rFonts w:hint="eastAsia" w:ascii="仿宋_GB2312" w:eastAsia="仿宋_GB2312"/>
          <w:sz w:val="32"/>
          <w:szCs w:val="32"/>
          <w:highlight w:val="none"/>
          <w:lang w:eastAsia="zh-CN"/>
        </w:rPr>
        <w:t>。对进入</w:t>
      </w:r>
      <w:r>
        <w:rPr>
          <w:rFonts w:hint="eastAsia" w:ascii="仿宋_GB2312" w:eastAsia="仿宋_GB2312"/>
          <w:sz w:val="32"/>
          <w:szCs w:val="32"/>
          <w:highlight w:val="none"/>
          <w:lang w:val="en-US" w:eastAsia="zh-CN"/>
        </w:rPr>
        <w:t>行政</w:t>
      </w:r>
      <w:r>
        <w:rPr>
          <w:rFonts w:hint="eastAsia" w:ascii="仿宋_GB2312" w:eastAsia="仿宋_GB2312"/>
          <w:sz w:val="32"/>
          <w:szCs w:val="32"/>
          <w:highlight w:val="none"/>
          <w:lang w:eastAsia="zh-CN"/>
        </w:rPr>
        <w:t>诉讼程序的行政复议案件，一并提供</w:t>
      </w:r>
      <w:r>
        <w:rPr>
          <w:rFonts w:hint="eastAsia" w:ascii="仿宋_GB2312" w:eastAsia="仿宋_GB2312"/>
          <w:sz w:val="32"/>
          <w:szCs w:val="32"/>
          <w:lang w:eastAsia="zh-CN"/>
        </w:rPr>
        <w:t>人民法院生效裁判文书；</w:t>
      </w:r>
    </w:p>
    <w:p>
      <w:pPr>
        <w:pStyle w:val="13"/>
        <w:numPr>
          <w:ilvl w:val="0"/>
          <w:numId w:val="0"/>
        </w:numPr>
        <w:spacing w:line="600" w:lineRule="exact"/>
        <w:ind w:firstLine="640" w:firstLineChars="200"/>
        <w:rPr>
          <w:rFonts w:hint="eastAsia" w:ascii="仿宋_GB2312" w:eastAsia="黑体"/>
          <w:sz w:val="32"/>
          <w:szCs w:val="32"/>
        </w:rPr>
      </w:pPr>
      <w:r>
        <w:rPr>
          <w:rFonts w:hint="eastAsia" w:ascii="仿宋_GB2312" w:eastAsia="仿宋_GB2312"/>
          <w:sz w:val="32"/>
          <w:szCs w:val="32"/>
          <w:lang w:eastAsia="zh-CN"/>
        </w:rPr>
        <w:t>（四）</w:t>
      </w:r>
      <w:r>
        <w:rPr>
          <w:rFonts w:hint="eastAsia" w:ascii="仿宋_GB2312" w:eastAsia="仿宋_GB2312"/>
          <w:sz w:val="32"/>
          <w:szCs w:val="32"/>
        </w:rPr>
        <w:t>其他相关材料。</w:t>
      </w:r>
    </w:p>
    <w:p>
      <w:pPr>
        <w:spacing w:line="600" w:lineRule="exact"/>
        <w:ind w:firstLine="640" w:firstLineChars="200"/>
        <w:rPr>
          <w:rFonts w:ascii="仿宋_GB2312" w:eastAsia="仿宋_GB2312"/>
          <w:sz w:val="32"/>
          <w:szCs w:val="32"/>
        </w:rPr>
      </w:pPr>
      <w:r>
        <w:rPr>
          <w:rFonts w:hint="eastAsia" w:ascii="仿宋_GB2312" w:eastAsia="黑体"/>
          <w:sz w:val="32"/>
          <w:szCs w:val="32"/>
        </w:rPr>
        <w:t>第</w:t>
      </w:r>
      <w:r>
        <w:rPr>
          <w:rFonts w:hint="eastAsia" w:ascii="仿宋_GB2312" w:eastAsia="黑体"/>
          <w:sz w:val="32"/>
          <w:szCs w:val="32"/>
          <w:lang w:eastAsia="zh-CN"/>
        </w:rPr>
        <w:t>七</w:t>
      </w:r>
      <w:r>
        <w:rPr>
          <w:rFonts w:hint="eastAsia" w:ascii="仿宋_GB2312" w:eastAsia="黑体"/>
          <w:sz w:val="32"/>
          <w:szCs w:val="32"/>
        </w:rPr>
        <w:t>条</w:t>
      </w:r>
      <w:r>
        <w:rPr>
          <w:rFonts w:hint="eastAsia" w:ascii="仿宋_GB2312" w:eastAsia="仿宋_GB2312"/>
          <w:b/>
          <w:sz w:val="32"/>
          <w:szCs w:val="32"/>
        </w:rPr>
        <w:t xml:space="preserve"> </w:t>
      </w:r>
      <w:r>
        <w:rPr>
          <w:rFonts w:hint="eastAsia" w:ascii="仿宋_GB2312" w:eastAsia="仿宋_GB2312"/>
          <w:sz w:val="32"/>
          <w:szCs w:val="32"/>
        </w:rPr>
        <w:t>（</w:t>
      </w:r>
      <w:r>
        <w:rPr>
          <w:rFonts w:hint="eastAsia" w:ascii="仿宋_GB2312" w:eastAsia="仿宋_GB2312"/>
          <w:sz w:val="32"/>
          <w:szCs w:val="32"/>
          <w:lang w:eastAsia="zh-CN"/>
        </w:rPr>
        <w:t>其他</w:t>
      </w:r>
      <w:r>
        <w:rPr>
          <w:rFonts w:hint="eastAsia" w:ascii="仿宋_GB2312" w:eastAsia="仿宋_GB2312"/>
          <w:sz w:val="32"/>
          <w:szCs w:val="32"/>
        </w:rPr>
        <w:t>推荐）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省级以下人民政府的行政复议机构认为本机构</w:t>
      </w:r>
      <w:r>
        <w:rPr>
          <w:rFonts w:hint="eastAsia" w:ascii="仿宋_GB2312" w:eastAsia="仿宋_GB2312"/>
          <w:sz w:val="32"/>
          <w:szCs w:val="32"/>
          <w:lang w:eastAsia="zh-CN"/>
        </w:rPr>
        <w:t>办理</w:t>
      </w:r>
      <w:r>
        <w:rPr>
          <w:rFonts w:hint="eastAsia" w:ascii="仿宋_GB2312" w:eastAsia="仿宋_GB2312"/>
          <w:sz w:val="32"/>
          <w:szCs w:val="32"/>
        </w:rPr>
        <w:t>的</w:t>
      </w:r>
      <w:r>
        <w:rPr>
          <w:rFonts w:hint="eastAsia" w:ascii="仿宋_GB2312" w:eastAsia="仿宋_GB2312"/>
          <w:sz w:val="32"/>
          <w:szCs w:val="32"/>
          <w:lang w:eastAsia="zh-CN"/>
        </w:rPr>
        <w:t>行政复议</w:t>
      </w:r>
      <w:r>
        <w:rPr>
          <w:rFonts w:hint="eastAsia" w:ascii="仿宋_GB2312" w:eastAsia="仿宋_GB2312"/>
          <w:sz w:val="32"/>
          <w:szCs w:val="32"/>
        </w:rPr>
        <w:t>案件符合</w:t>
      </w:r>
      <w:r>
        <w:rPr>
          <w:rFonts w:hint="eastAsia" w:ascii="仿宋_GB2312" w:eastAsia="仿宋_GB2312"/>
          <w:sz w:val="32"/>
          <w:szCs w:val="32"/>
          <w:lang w:eastAsia="zh-CN"/>
        </w:rPr>
        <w:t>本规定第二条规定的条件</w:t>
      </w:r>
      <w:r>
        <w:rPr>
          <w:rFonts w:hint="eastAsia" w:ascii="仿宋_GB2312" w:eastAsia="仿宋_GB2312"/>
          <w:sz w:val="32"/>
          <w:szCs w:val="32"/>
        </w:rPr>
        <w:t>的，可</w:t>
      </w:r>
      <w:r>
        <w:rPr>
          <w:rFonts w:hint="eastAsia" w:ascii="仿宋_GB2312" w:eastAsia="仿宋_GB2312"/>
          <w:sz w:val="32"/>
          <w:szCs w:val="32"/>
          <w:lang w:val="en-US" w:eastAsia="zh-CN"/>
        </w:rPr>
        <w:t>按程序报请</w:t>
      </w:r>
      <w:r>
        <w:rPr>
          <w:rFonts w:hint="eastAsia" w:ascii="仿宋_GB2312" w:eastAsia="仿宋_GB2312"/>
          <w:sz w:val="32"/>
          <w:szCs w:val="32"/>
        </w:rPr>
        <w:t>省级</w:t>
      </w:r>
      <w:r>
        <w:rPr>
          <w:rFonts w:hint="eastAsia" w:ascii="仿宋_GB2312" w:eastAsia="仿宋_GB2312"/>
          <w:sz w:val="32"/>
          <w:szCs w:val="32"/>
          <w:lang w:eastAsia="zh-CN"/>
        </w:rPr>
        <w:t>人民</w:t>
      </w:r>
      <w:r>
        <w:rPr>
          <w:rFonts w:hint="eastAsia" w:ascii="仿宋_GB2312" w:eastAsia="仿宋_GB2312"/>
          <w:sz w:val="32"/>
          <w:szCs w:val="32"/>
        </w:rPr>
        <w:t>政府</w:t>
      </w:r>
      <w:r>
        <w:rPr>
          <w:rFonts w:hint="eastAsia" w:ascii="仿宋_GB2312" w:eastAsia="仿宋_GB2312"/>
          <w:sz w:val="32"/>
          <w:szCs w:val="32"/>
          <w:lang w:eastAsia="zh-CN"/>
        </w:rPr>
        <w:t>行政</w:t>
      </w:r>
      <w:r>
        <w:rPr>
          <w:rFonts w:hint="eastAsia" w:ascii="仿宋_GB2312" w:eastAsia="仿宋_GB2312"/>
          <w:sz w:val="32"/>
          <w:szCs w:val="32"/>
        </w:rPr>
        <w:t>复议机构向司法部</w:t>
      </w:r>
      <w:r>
        <w:rPr>
          <w:rFonts w:hint="eastAsia" w:ascii="仿宋_GB2312" w:eastAsia="仿宋_GB2312"/>
          <w:sz w:val="32"/>
          <w:szCs w:val="32"/>
          <w:lang w:eastAsia="zh-CN"/>
        </w:rPr>
        <w:t>报送</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其他依照行政复议法履行行政复议职责的行政机关认为本机关作出的</w:t>
      </w:r>
      <w:r>
        <w:rPr>
          <w:rFonts w:hint="eastAsia" w:ascii="仿宋_GB2312" w:eastAsia="仿宋_GB2312"/>
          <w:sz w:val="32"/>
          <w:szCs w:val="32"/>
          <w:lang w:eastAsia="zh-CN"/>
        </w:rPr>
        <w:t>行政复议</w:t>
      </w:r>
      <w:r>
        <w:rPr>
          <w:rFonts w:hint="eastAsia" w:ascii="仿宋_GB2312" w:eastAsia="仿宋_GB2312"/>
          <w:sz w:val="32"/>
          <w:szCs w:val="32"/>
        </w:rPr>
        <w:t>案件符合</w:t>
      </w:r>
      <w:r>
        <w:rPr>
          <w:rFonts w:hint="eastAsia" w:ascii="仿宋_GB2312" w:eastAsia="仿宋_GB2312"/>
          <w:sz w:val="32"/>
          <w:szCs w:val="32"/>
          <w:lang w:eastAsia="zh-CN"/>
        </w:rPr>
        <w:t>本规定第二条规定的条件</w:t>
      </w:r>
      <w:r>
        <w:rPr>
          <w:rFonts w:hint="eastAsia" w:ascii="仿宋_GB2312" w:eastAsia="仿宋_GB2312"/>
          <w:sz w:val="32"/>
          <w:szCs w:val="32"/>
        </w:rPr>
        <w:t>的，可</w:t>
      </w:r>
      <w:r>
        <w:rPr>
          <w:rFonts w:hint="eastAsia" w:ascii="仿宋_GB2312" w:eastAsia="仿宋_GB2312"/>
          <w:sz w:val="32"/>
          <w:szCs w:val="32"/>
          <w:lang w:val="en-US" w:eastAsia="zh-CN"/>
        </w:rPr>
        <w:t>按程序报请</w:t>
      </w:r>
      <w:r>
        <w:rPr>
          <w:rFonts w:hint="eastAsia" w:ascii="仿宋_GB2312" w:eastAsia="仿宋_GB2312"/>
          <w:sz w:val="32"/>
          <w:szCs w:val="32"/>
        </w:rPr>
        <w:t>国务院相关主管部门向司法部</w:t>
      </w:r>
      <w:r>
        <w:rPr>
          <w:rFonts w:hint="eastAsia" w:ascii="仿宋_GB2312" w:eastAsia="仿宋_GB2312"/>
          <w:sz w:val="32"/>
          <w:szCs w:val="32"/>
          <w:lang w:eastAsia="zh-CN"/>
        </w:rPr>
        <w:t>报送</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hAnsiTheme="minorHAnsi" w:cstheme="minorBidi"/>
          <w:kern w:val="2"/>
          <w:sz w:val="32"/>
          <w:szCs w:val="32"/>
          <w:lang w:val="en-US" w:eastAsia="zh-CN" w:bidi="ar-SA"/>
        </w:rPr>
        <w:t>人大代表、政协委员、专家学者</w:t>
      </w:r>
      <w:r>
        <w:rPr>
          <w:rFonts w:hint="eastAsia" w:ascii="仿宋_GB2312" w:eastAsia="仿宋_GB2312" w:cstheme="minorBidi"/>
          <w:kern w:val="2"/>
          <w:sz w:val="32"/>
          <w:szCs w:val="32"/>
          <w:lang w:val="en-US" w:eastAsia="zh-CN" w:bidi="ar-SA"/>
        </w:rPr>
        <w:t>等</w:t>
      </w:r>
      <w:r>
        <w:rPr>
          <w:rFonts w:hint="eastAsia" w:ascii="仿宋_GB2312" w:eastAsia="仿宋_GB2312" w:hAnsiTheme="minorHAnsi" w:cstheme="minorBidi"/>
          <w:kern w:val="2"/>
          <w:sz w:val="32"/>
          <w:szCs w:val="32"/>
          <w:lang w:val="en-US" w:eastAsia="zh-CN" w:bidi="ar-SA"/>
        </w:rPr>
        <w:t>认为有关行政复议案件</w:t>
      </w:r>
      <w:r>
        <w:rPr>
          <w:rFonts w:hint="eastAsia" w:ascii="仿宋_GB2312" w:eastAsia="仿宋_GB2312"/>
          <w:sz w:val="32"/>
          <w:szCs w:val="32"/>
        </w:rPr>
        <w:t>符合</w:t>
      </w:r>
      <w:r>
        <w:rPr>
          <w:rFonts w:hint="eastAsia" w:ascii="仿宋_GB2312" w:eastAsia="仿宋_GB2312"/>
          <w:sz w:val="32"/>
          <w:szCs w:val="32"/>
          <w:lang w:eastAsia="zh-CN"/>
        </w:rPr>
        <w:t>本规定第二条规定的条件</w:t>
      </w:r>
      <w:r>
        <w:rPr>
          <w:rFonts w:hint="eastAsia" w:ascii="仿宋_GB2312" w:eastAsia="仿宋_GB2312"/>
          <w:sz w:val="32"/>
          <w:szCs w:val="32"/>
        </w:rPr>
        <w:t>的</w:t>
      </w:r>
      <w:r>
        <w:rPr>
          <w:rFonts w:hint="eastAsia" w:ascii="仿宋_GB2312" w:eastAsia="仿宋_GB2312" w:hAnsiTheme="minorHAnsi" w:cstheme="minorBidi"/>
          <w:kern w:val="2"/>
          <w:sz w:val="32"/>
          <w:szCs w:val="32"/>
          <w:lang w:val="en-US" w:eastAsia="zh-CN" w:bidi="ar-SA"/>
        </w:rPr>
        <w:t>，可以向办理该案的行政复议机构提出推荐建议</w:t>
      </w:r>
      <w:r>
        <w:rPr>
          <w:rFonts w:hint="eastAsia" w:ascii="仿宋_GB2312" w:eastAsia="仿宋_GB2312" w:hAnsiTheme="minorHAnsi" w:cstheme="minorBidi"/>
          <w:b w:val="0"/>
          <w:bCs w:val="0"/>
          <w:kern w:val="2"/>
          <w:sz w:val="32"/>
          <w:szCs w:val="32"/>
          <w:lang w:val="en-US" w:eastAsia="zh-CN" w:bidi="ar-SA"/>
        </w:rPr>
        <w:t>。</w:t>
      </w:r>
    </w:p>
    <w:p>
      <w:pPr>
        <w:spacing w:line="600" w:lineRule="exact"/>
        <w:ind w:firstLine="640" w:firstLineChars="200"/>
        <w:rPr>
          <w:rFonts w:ascii="仿宋_GB2312" w:eastAsia="仿宋_GB2312"/>
          <w:sz w:val="32"/>
          <w:szCs w:val="32"/>
        </w:rPr>
      </w:pPr>
      <w:r>
        <w:rPr>
          <w:rFonts w:hint="eastAsia" w:ascii="仿宋_GB2312" w:eastAsia="黑体"/>
          <w:sz w:val="32"/>
          <w:szCs w:val="32"/>
        </w:rPr>
        <w:t>第</w:t>
      </w:r>
      <w:r>
        <w:rPr>
          <w:rFonts w:hint="eastAsia" w:ascii="仿宋_GB2312" w:eastAsia="黑体"/>
          <w:sz w:val="32"/>
          <w:szCs w:val="32"/>
          <w:lang w:eastAsia="zh-CN"/>
        </w:rPr>
        <w:t>八</w:t>
      </w:r>
      <w:r>
        <w:rPr>
          <w:rFonts w:hint="eastAsia" w:ascii="仿宋_GB2312" w:eastAsia="黑体"/>
          <w:sz w:val="32"/>
          <w:szCs w:val="32"/>
        </w:rPr>
        <w:t>条</w:t>
      </w:r>
      <w:r>
        <w:rPr>
          <w:rFonts w:hint="eastAsia" w:ascii="仿宋_GB2312" w:eastAsia="黑体"/>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特殊情况</w:t>
      </w:r>
      <w:r>
        <w:rPr>
          <w:rFonts w:hint="eastAsia" w:ascii="仿宋_GB2312" w:eastAsia="仿宋_GB2312"/>
          <w:sz w:val="32"/>
          <w:szCs w:val="32"/>
        </w:rPr>
        <w:t>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指导性案例涉及国家秘密、商业秘密、个人隐私或者其他敏感信息的，应当在报送前对相关信息进行处理，必要时可专门作出说明。</w:t>
      </w:r>
    </w:p>
    <w:p>
      <w:pPr>
        <w:spacing w:line="600" w:lineRule="exact"/>
        <w:ind w:firstLine="640" w:firstLineChars="200"/>
        <w:rPr>
          <w:rFonts w:hint="eastAsia" w:ascii="仿宋_GB2312" w:eastAsia="黑体"/>
          <w:sz w:val="32"/>
          <w:szCs w:val="32"/>
        </w:rPr>
      </w:pPr>
      <w:r>
        <w:rPr>
          <w:rFonts w:hint="eastAsia" w:ascii="仿宋_GB2312" w:eastAsia="仿宋_GB2312"/>
          <w:sz w:val="32"/>
          <w:szCs w:val="32"/>
        </w:rPr>
        <w:t>省级</w:t>
      </w:r>
      <w:r>
        <w:rPr>
          <w:rFonts w:hint="eastAsia" w:ascii="仿宋_GB2312" w:eastAsia="仿宋_GB2312"/>
          <w:b w:val="0"/>
          <w:bCs w:val="0"/>
          <w:sz w:val="32"/>
          <w:szCs w:val="32"/>
          <w:lang w:eastAsia="zh-CN"/>
        </w:rPr>
        <w:t>人民</w:t>
      </w:r>
      <w:r>
        <w:rPr>
          <w:rFonts w:hint="eastAsia" w:ascii="仿宋_GB2312" w:eastAsia="仿宋_GB2312"/>
          <w:sz w:val="32"/>
          <w:szCs w:val="32"/>
        </w:rPr>
        <w:t>政府</w:t>
      </w:r>
      <w:r>
        <w:rPr>
          <w:rFonts w:hint="eastAsia" w:ascii="仿宋_GB2312" w:eastAsia="仿宋_GB2312" w:hAnsiTheme="minorHAnsi" w:cstheme="minorBidi"/>
          <w:b w:val="0"/>
          <w:bCs w:val="0"/>
          <w:sz w:val="32"/>
          <w:szCs w:val="32"/>
        </w:rPr>
        <w:t>行政复议机构</w:t>
      </w:r>
      <w:r>
        <w:rPr>
          <w:rFonts w:hint="eastAsia" w:ascii="仿宋_GB2312" w:eastAsia="仿宋_GB2312"/>
          <w:sz w:val="32"/>
          <w:szCs w:val="32"/>
          <w:lang w:eastAsia="zh-CN"/>
        </w:rPr>
        <w:t>、国务院部门行政复议机构</w:t>
      </w:r>
      <w:r>
        <w:rPr>
          <w:rFonts w:hint="eastAsia" w:ascii="仿宋_GB2312" w:eastAsia="仿宋_GB2312"/>
          <w:sz w:val="32"/>
          <w:szCs w:val="32"/>
        </w:rPr>
        <w:t>报送推荐案例后</w:t>
      </w:r>
      <w:r>
        <w:rPr>
          <w:rFonts w:hint="eastAsia" w:ascii="仿宋_GB2312" w:eastAsia="仿宋_GB2312"/>
          <w:sz w:val="32"/>
          <w:szCs w:val="32"/>
          <w:lang w:eastAsia="zh-CN"/>
        </w:rPr>
        <w:t>，</w:t>
      </w:r>
      <w:r>
        <w:rPr>
          <w:rFonts w:hint="eastAsia" w:ascii="仿宋_GB2312" w:eastAsia="仿宋_GB2312"/>
          <w:sz w:val="32"/>
          <w:szCs w:val="32"/>
        </w:rPr>
        <w:t>发现推荐案例不符合</w:t>
      </w:r>
      <w:r>
        <w:rPr>
          <w:rFonts w:hint="eastAsia" w:ascii="仿宋_GB2312" w:eastAsia="仿宋_GB2312"/>
          <w:sz w:val="32"/>
          <w:szCs w:val="32"/>
          <w:lang w:eastAsia="zh-CN"/>
        </w:rPr>
        <w:t>本规定第二条规定的条件</w:t>
      </w:r>
      <w:r>
        <w:rPr>
          <w:rFonts w:hint="eastAsia" w:ascii="仿宋_GB2312" w:eastAsia="仿宋_GB2312"/>
          <w:sz w:val="32"/>
          <w:szCs w:val="32"/>
        </w:rPr>
        <w:t>的，应当及时报告。</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九</w:t>
      </w:r>
      <w:r>
        <w:rPr>
          <w:rFonts w:hint="eastAsia" w:ascii="仿宋_GB2312" w:eastAsia="黑体"/>
          <w:sz w:val="32"/>
          <w:szCs w:val="32"/>
        </w:rPr>
        <w:t xml:space="preserve">条 </w:t>
      </w:r>
      <w:r>
        <w:rPr>
          <w:rFonts w:hint="eastAsia" w:ascii="仿宋_GB2312" w:eastAsia="仿宋_GB2312"/>
          <w:sz w:val="32"/>
          <w:szCs w:val="32"/>
        </w:rPr>
        <w:t>（</w:t>
      </w:r>
      <w:r>
        <w:rPr>
          <w:rFonts w:hint="eastAsia" w:ascii="仿宋_GB2312" w:eastAsia="仿宋_GB2312"/>
          <w:sz w:val="32"/>
          <w:szCs w:val="32"/>
          <w:lang w:eastAsia="zh-CN"/>
        </w:rPr>
        <w:t>审核</w:t>
      </w:r>
      <w:r>
        <w:rPr>
          <w:rFonts w:hint="eastAsia" w:ascii="仿宋_GB2312" w:eastAsia="仿宋_GB2312"/>
          <w:sz w:val="32"/>
          <w:szCs w:val="32"/>
        </w:rPr>
        <w:t>机制）</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司法部行政复议与应诉</w:t>
      </w:r>
      <w:r>
        <w:rPr>
          <w:rFonts w:hint="eastAsia" w:ascii="仿宋_GB2312" w:eastAsia="仿宋_GB2312"/>
          <w:sz w:val="32"/>
          <w:szCs w:val="32"/>
          <w:lang w:eastAsia="zh-CN"/>
        </w:rPr>
        <w:t>局</w:t>
      </w:r>
      <w:r>
        <w:rPr>
          <w:rFonts w:hint="eastAsia" w:ascii="仿宋_GB2312" w:eastAsia="仿宋_GB2312"/>
          <w:sz w:val="32"/>
          <w:szCs w:val="32"/>
        </w:rPr>
        <w:t>负责对推荐案例</w:t>
      </w:r>
      <w:r>
        <w:rPr>
          <w:rFonts w:hint="eastAsia" w:ascii="仿宋_GB2312" w:eastAsia="仿宋_GB2312"/>
          <w:sz w:val="32"/>
          <w:szCs w:val="32"/>
          <w:lang w:eastAsia="zh-CN"/>
        </w:rPr>
        <w:t>进行</w:t>
      </w:r>
      <w:r>
        <w:rPr>
          <w:rFonts w:hint="eastAsia" w:ascii="仿宋_GB2312" w:eastAsia="仿宋_GB2312"/>
          <w:sz w:val="32"/>
          <w:szCs w:val="32"/>
        </w:rPr>
        <w:t>审核</w:t>
      </w:r>
      <w:r>
        <w:rPr>
          <w:rFonts w:hint="eastAsia" w:ascii="仿宋_GB2312" w:eastAsia="仿宋_GB2312"/>
          <w:sz w:val="32"/>
          <w:szCs w:val="32"/>
          <w:lang w:eastAsia="zh-CN"/>
        </w:rPr>
        <w:t>，必要时</w:t>
      </w:r>
      <w:r>
        <w:rPr>
          <w:rFonts w:hint="eastAsia" w:ascii="仿宋_GB2312" w:eastAsia="仿宋_GB2312"/>
          <w:spacing w:val="-6"/>
          <w:sz w:val="32"/>
          <w:szCs w:val="32"/>
          <w:lang w:eastAsia="zh-CN"/>
        </w:rPr>
        <w:t>可以组织</w:t>
      </w:r>
      <w:r>
        <w:rPr>
          <w:rFonts w:hint="eastAsia" w:ascii="仿宋_GB2312" w:eastAsia="仿宋_GB2312"/>
          <w:spacing w:val="-6"/>
          <w:sz w:val="32"/>
          <w:szCs w:val="32"/>
          <w:highlight w:val="none"/>
          <w:lang w:eastAsia="zh-CN"/>
        </w:rPr>
        <w:t>有关国家机关、社会组织、专家学者研究论证，提出</w:t>
      </w:r>
      <w:r>
        <w:rPr>
          <w:rFonts w:hint="eastAsia" w:ascii="仿宋_GB2312" w:eastAsia="仿宋_GB2312"/>
          <w:spacing w:val="-6"/>
          <w:sz w:val="32"/>
          <w:szCs w:val="32"/>
          <w:lang w:eastAsia="zh-CN"/>
        </w:rPr>
        <w:t>意见。</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w:t>
      </w:r>
      <w:r>
        <w:rPr>
          <w:rFonts w:hint="eastAsia" w:ascii="仿宋_GB2312" w:eastAsia="黑体"/>
          <w:sz w:val="32"/>
          <w:szCs w:val="32"/>
        </w:rPr>
        <w:t>条</w:t>
      </w:r>
      <w:r>
        <w:rPr>
          <w:rFonts w:hint="eastAsia" w:ascii="仿宋_GB2312" w:eastAsia="黑体"/>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报批和发布</w:t>
      </w:r>
      <w:r>
        <w:rPr>
          <w:rFonts w:hint="eastAsia" w:ascii="仿宋_GB2312" w:eastAsia="仿宋_GB2312"/>
          <w:sz w:val="32"/>
          <w:szCs w:val="32"/>
        </w:rPr>
        <w:t>）</w:t>
      </w:r>
    </w:p>
    <w:p>
      <w:pPr>
        <w:spacing w:line="600" w:lineRule="exact"/>
        <w:ind w:firstLine="640" w:firstLineChars="200"/>
        <w:rPr>
          <w:rFonts w:hint="eastAsia" w:ascii="仿宋_GB2312" w:eastAsia="仿宋_GB2312"/>
          <w:spacing w:val="-6"/>
          <w:sz w:val="32"/>
          <w:szCs w:val="32"/>
          <w:highlight w:val="none"/>
        </w:rPr>
      </w:pPr>
      <w:r>
        <w:rPr>
          <w:rFonts w:hint="eastAsia" w:ascii="仿宋_GB2312" w:eastAsia="仿宋_GB2312"/>
          <w:sz w:val="32"/>
          <w:szCs w:val="32"/>
          <w:highlight w:val="none"/>
          <w:lang w:val="en-US" w:eastAsia="zh-CN"/>
        </w:rPr>
        <w:t>行政复议指导性</w:t>
      </w:r>
      <w:r>
        <w:rPr>
          <w:rFonts w:hint="eastAsia" w:ascii="仿宋_GB2312" w:eastAsia="仿宋_GB2312"/>
          <w:sz w:val="32"/>
          <w:szCs w:val="32"/>
          <w:highlight w:val="none"/>
          <w:lang w:eastAsia="zh-CN"/>
        </w:rPr>
        <w:t>案例</w:t>
      </w:r>
      <w:r>
        <w:rPr>
          <w:rFonts w:hint="eastAsia" w:ascii="仿宋_GB2312" w:eastAsia="仿宋_GB2312"/>
          <w:spacing w:val="-6"/>
          <w:sz w:val="32"/>
          <w:szCs w:val="32"/>
          <w:highlight w:val="none"/>
          <w:lang w:eastAsia="zh-CN"/>
        </w:rPr>
        <w:t>经司法部行政复议与应诉局审核，按程序报司法部领导审批同意后，</w:t>
      </w:r>
      <w:r>
        <w:rPr>
          <w:rFonts w:hint="eastAsia" w:ascii="仿宋_GB2312" w:eastAsia="仿宋_GB2312" w:hAnsiTheme="minorHAnsi" w:cstheme="minorBidi"/>
          <w:spacing w:val="-6"/>
          <w:kern w:val="2"/>
          <w:sz w:val="32"/>
          <w:szCs w:val="32"/>
          <w:highlight w:val="none"/>
          <w:lang w:val="en-US" w:eastAsia="zh-CN" w:bidi="ar-SA"/>
        </w:rPr>
        <w:t>在司法部政务网站、政务新媒体上公开向社会发布</w:t>
      </w:r>
      <w:r>
        <w:rPr>
          <w:rFonts w:hint="eastAsia" w:ascii="仿宋_GB2312" w:eastAsia="仿宋_GB2312"/>
          <w:b w:val="0"/>
          <w:bCs w:val="0"/>
          <w:spacing w:val="-6"/>
          <w:sz w:val="32"/>
          <w:szCs w:val="32"/>
          <w:highlight w:val="none"/>
          <w:lang w:eastAsia="zh-CN"/>
        </w:rPr>
        <w:t>。</w:t>
      </w:r>
    </w:p>
    <w:p>
      <w:pPr>
        <w:spacing w:line="600" w:lineRule="exact"/>
        <w:ind w:firstLine="640" w:firstLineChars="200"/>
        <w:rPr>
          <w:rFonts w:ascii="仿宋_GB2312" w:eastAsia="仿宋_GB2312"/>
          <w:sz w:val="32"/>
          <w:szCs w:val="32"/>
        </w:rPr>
      </w:pPr>
      <w:r>
        <w:rPr>
          <w:rFonts w:hint="eastAsia" w:ascii="仿宋_GB2312" w:eastAsia="黑体"/>
          <w:sz w:val="32"/>
          <w:szCs w:val="32"/>
        </w:rPr>
        <w:t>第十</w:t>
      </w:r>
      <w:r>
        <w:rPr>
          <w:rFonts w:hint="eastAsia" w:ascii="仿宋_GB2312" w:eastAsia="黑体"/>
          <w:sz w:val="32"/>
          <w:szCs w:val="32"/>
          <w:lang w:eastAsia="zh-CN"/>
        </w:rPr>
        <w:t>一</w:t>
      </w:r>
      <w:r>
        <w:rPr>
          <w:rFonts w:hint="eastAsia" w:ascii="仿宋_GB2312" w:eastAsia="黑体"/>
          <w:sz w:val="32"/>
          <w:szCs w:val="32"/>
        </w:rPr>
        <w:t>条</w:t>
      </w:r>
      <w:r>
        <w:rPr>
          <w:rFonts w:hint="eastAsia" w:ascii="仿宋_GB2312" w:eastAsia="仿宋_GB2312"/>
          <w:sz w:val="32"/>
          <w:szCs w:val="32"/>
        </w:rPr>
        <w:t xml:space="preserve"> （案例效力）</w:t>
      </w:r>
    </w:p>
    <w:p>
      <w:pPr>
        <w:spacing w:line="600" w:lineRule="exact"/>
        <w:ind w:firstLine="640" w:firstLineChars="200"/>
        <w:rPr>
          <w:rFonts w:hint="eastAsia" w:ascii="仿宋_GB2312" w:eastAsia="黑体"/>
          <w:sz w:val="32"/>
          <w:szCs w:val="32"/>
        </w:rPr>
      </w:pPr>
      <w:r>
        <w:rPr>
          <w:rFonts w:hint="eastAsia" w:ascii="仿宋_GB2312" w:eastAsia="仿宋_GB2312"/>
          <w:sz w:val="32"/>
          <w:szCs w:val="32"/>
          <w:lang w:eastAsia="zh-CN"/>
        </w:rPr>
        <w:t>各级</w:t>
      </w:r>
      <w:r>
        <w:rPr>
          <w:rFonts w:hint="eastAsia" w:ascii="仿宋_GB2312" w:eastAsia="仿宋_GB2312"/>
          <w:sz w:val="32"/>
          <w:szCs w:val="32"/>
        </w:rPr>
        <w:t>行政复议机构</w:t>
      </w:r>
      <w:r>
        <w:rPr>
          <w:rFonts w:hint="eastAsia" w:ascii="仿宋_GB2312" w:eastAsia="仿宋_GB2312"/>
          <w:sz w:val="32"/>
          <w:szCs w:val="32"/>
          <w:lang w:eastAsia="zh-CN"/>
        </w:rPr>
        <w:t>办理</w:t>
      </w:r>
      <w:r>
        <w:rPr>
          <w:rFonts w:hint="eastAsia" w:ascii="仿宋_GB2312" w:eastAsia="仿宋_GB2312"/>
          <w:sz w:val="32"/>
          <w:szCs w:val="32"/>
        </w:rPr>
        <w:t>行政复议案件，</w:t>
      </w:r>
      <w:r>
        <w:rPr>
          <w:rFonts w:hint="eastAsia" w:ascii="仿宋_GB2312" w:eastAsia="仿宋_GB2312"/>
          <w:sz w:val="32"/>
          <w:szCs w:val="32"/>
          <w:lang w:eastAsia="zh-CN"/>
        </w:rPr>
        <w:t>对</w:t>
      </w:r>
      <w:r>
        <w:rPr>
          <w:rFonts w:hint="eastAsia" w:ascii="仿宋_GB2312" w:eastAsia="仿宋_GB2312"/>
          <w:sz w:val="32"/>
          <w:szCs w:val="32"/>
          <w:lang w:val="en-US" w:eastAsia="zh-CN"/>
        </w:rPr>
        <w:t>于</w:t>
      </w:r>
      <w:r>
        <w:rPr>
          <w:rFonts w:hint="eastAsia" w:ascii="仿宋_GB2312" w:eastAsia="仿宋_GB2312"/>
          <w:sz w:val="32"/>
          <w:szCs w:val="32"/>
        </w:rPr>
        <w:t>基本案情</w:t>
      </w:r>
      <w:r>
        <w:rPr>
          <w:rFonts w:hint="eastAsia" w:ascii="仿宋_GB2312" w:eastAsia="仿宋_GB2312"/>
          <w:sz w:val="32"/>
          <w:szCs w:val="32"/>
          <w:lang w:eastAsia="zh-CN"/>
        </w:rPr>
        <w:t>、</w:t>
      </w:r>
      <w:r>
        <w:rPr>
          <w:rFonts w:hint="eastAsia" w:ascii="仿宋_GB2312" w:eastAsia="仿宋_GB2312"/>
          <w:sz w:val="32"/>
          <w:szCs w:val="32"/>
        </w:rPr>
        <w:t>法律适用</w:t>
      </w:r>
      <w:r>
        <w:rPr>
          <w:rFonts w:hint="eastAsia" w:ascii="仿宋_GB2312" w:eastAsia="仿宋_GB2312"/>
          <w:sz w:val="32"/>
          <w:szCs w:val="32"/>
          <w:lang w:eastAsia="zh-CN"/>
        </w:rPr>
        <w:t>、政策把握、办案方法</w:t>
      </w:r>
      <w:r>
        <w:rPr>
          <w:rFonts w:hint="eastAsia" w:ascii="仿宋_GB2312" w:eastAsia="仿宋_GB2312"/>
          <w:sz w:val="32"/>
          <w:szCs w:val="32"/>
        </w:rPr>
        <w:t>方面与</w:t>
      </w:r>
      <w:r>
        <w:rPr>
          <w:rFonts w:hint="eastAsia" w:ascii="仿宋_GB2312" w:eastAsia="仿宋_GB2312"/>
          <w:sz w:val="32"/>
          <w:szCs w:val="32"/>
          <w:lang w:eastAsia="zh-CN"/>
        </w:rPr>
        <w:t>已发布的</w:t>
      </w:r>
      <w:r>
        <w:rPr>
          <w:rFonts w:hint="eastAsia" w:ascii="仿宋_GB2312" w:eastAsia="仿宋_GB2312"/>
          <w:sz w:val="32"/>
          <w:szCs w:val="32"/>
        </w:rPr>
        <w:t>指导性案例相类似的，</w:t>
      </w:r>
      <w:r>
        <w:rPr>
          <w:rFonts w:hint="eastAsia" w:ascii="仿宋_GB2312" w:eastAsia="仿宋_GB2312"/>
          <w:sz w:val="32"/>
          <w:szCs w:val="32"/>
          <w:lang w:eastAsia="zh-CN"/>
        </w:rPr>
        <w:t>原则上</w:t>
      </w:r>
      <w:r>
        <w:rPr>
          <w:rFonts w:hint="eastAsia" w:ascii="仿宋_GB2312" w:eastAsia="仿宋_GB2312"/>
          <w:sz w:val="32"/>
          <w:szCs w:val="32"/>
        </w:rPr>
        <w:t>应当参照指导性案例</w:t>
      </w:r>
      <w:r>
        <w:rPr>
          <w:rFonts w:hint="eastAsia" w:ascii="仿宋_GB2312" w:eastAsia="仿宋_GB2312"/>
          <w:sz w:val="32"/>
          <w:szCs w:val="32"/>
          <w:lang w:val="en-US" w:eastAsia="zh-CN"/>
        </w:rPr>
        <w:t>的</w:t>
      </w:r>
      <w:r>
        <w:rPr>
          <w:rFonts w:hint="eastAsia" w:ascii="仿宋_GB2312" w:eastAsia="仿宋_GB2312"/>
          <w:sz w:val="32"/>
          <w:szCs w:val="32"/>
        </w:rPr>
        <w:t>审理要旨进行审理。</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十二</w:t>
      </w:r>
      <w:r>
        <w:rPr>
          <w:rFonts w:hint="eastAsia" w:ascii="仿宋_GB2312" w:eastAsia="黑体"/>
          <w:sz w:val="32"/>
          <w:szCs w:val="32"/>
        </w:rPr>
        <w:t>条</w:t>
      </w:r>
      <w:r>
        <w:rPr>
          <w:rFonts w:hint="eastAsia" w:ascii="仿宋_GB2312" w:eastAsia="仿宋_GB2312"/>
          <w:b/>
          <w:sz w:val="32"/>
          <w:szCs w:val="32"/>
        </w:rPr>
        <w:t xml:space="preserve"> </w:t>
      </w:r>
      <w:r>
        <w:rPr>
          <w:rFonts w:hint="eastAsia" w:ascii="仿宋_GB2312" w:eastAsia="仿宋_GB2312"/>
          <w:sz w:val="32"/>
          <w:szCs w:val="32"/>
        </w:rPr>
        <w:t>（案例应用）</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各级行政复议机构办理</w:t>
      </w:r>
      <w:r>
        <w:rPr>
          <w:rFonts w:hint="eastAsia" w:ascii="仿宋_GB2312" w:eastAsia="仿宋_GB2312"/>
          <w:sz w:val="32"/>
          <w:szCs w:val="32"/>
        </w:rPr>
        <w:t>类似行政复议案件</w:t>
      </w:r>
      <w:r>
        <w:rPr>
          <w:rFonts w:hint="eastAsia" w:ascii="仿宋_GB2312" w:eastAsia="仿宋_GB2312"/>
          <w:sz w:val="32"/>
          <w:szCs w:val="32"/>
          <w:lang w:eastAsia="zh-CN"/>
        </w:rPr>
        <w:t>参照指导性案例的</w:t>
      </w:r>
      <w:r>
        <w:rPr>
          <w:rFonts w:hint="eastAsia" w:ascii="仿宋_GB2312" w:eastAsia="仿宋_GB2312"/>
          <w:sz w:val="32"/>
          <w:szCs w:val="32"/>
        </w:rPr>
        <w:t>，可以引述相关指导性案例进行释法</w:t>
      </w:r>
      <w:r>
        <w:rPr>
          <w:rFonts w:hint="eastAsia" w:ascii="仿宋_GB2312" w:eastAsia="仿宋_GB2312"/>
          <w:sz w:val="32"/>
          <w:szCs w:val="32"/>
          <w:lang w:eastAsia="zh-CN"/>
        </w:rPr>
        <w:t>明</w:t>
      </w:r>
      <w:r>
        <w:rPr>
          <w:rFonts w:hint="eastAsia" w:ascii="仿宋_GB2312" w:eastAsia="仿宋_GB2312"/>
          <w:sz w:val="32"/>
          <w:szCs w:val="32"/>
        </w:rPr>
        <w:t>理，但不得</w:t>
      </w:r>
      <w:r>
        <w:rPr>
          <w:rFonts w:hint="eastAsia" w:ascii="仿宋_GB2312" w:eastAsia="仿宋_GB2312"/>
          <w:sz w:val="32"/>
          <w:szCs w:val="32"/>
          <w:lang w:eastAsia="zh-CN"/>
        </w:rPr>
        <w:t>以指导性案例</w:t>
      </w:r>
      <w:r>
        <w:rPr>
          <w:rFonts w:hint="eastAsia" w:ascii="仿宋_GB2312" w:eastAsia="仿宋_GB2312"/>
          <w:sz w:val="32"/>
          <w:szCs w:val="32"/>
        </w:rPr>
        <w:t>代替法律、法规、规章作为案件审理结果的直接依据。</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十三</w:t>
      </w:r>
      <w:r>
        <w:rPr>
          <w:rFonts w:hint="eastAsia" w:ascii="仿宋_GB2312" w:eastAsia="黑体"/>
          <w:sz w:val="32"/>
          <w:szCs w:val="32"/>
        </w:rPr>
        <w:t>条</w:t>
      </w:r>
      <w:r>
        <w:rPr>
          <w:rFonts w:hint="eastAsia" w:ascii="仿宋_GB2312" w:eastAsia="黑体"/>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回应</w:t>
      </w:r>
      <w:r>
        <w:rPr>
          <w:rFonts w:hint="eastAsia" w:ascii="仿宋_GB2312" w:eastAsia="仿宋_GB2312"/>
          <w:sz w:val="32"/>
          <w:szCs w:val="32"/>
        </w:rPr>
        <w:t>）</w:t>
      </w:r>
    </w:p>
    <w:p>
      <w:pPr>
        <w:numPr>
          <w:ilvl w:val="255"/>
          <w:numId w:val="0"/>
        </w:numPr>
        <w:spacing w:line="600" w:lineRule="exact"/>
        <w:ind w:firstLine="640" w:firstLineChars="200"/>
        <w:rPr>
          <w:rFonts w:hint="eastAsia" w:ascii="仿宋_GB2312" w:eastAsia="黑体"/>
          <w:sz w:val="32"/>
          <w:szCs w:val="32"/>
        </w:rPr>
      </w:pPr>
      <w:r>
        <w:rPr>
          <w:rFonts w:hint="eastAsia" w:ascii="仿宋_GB2312" w:eastAsia="仿宋_GB2312"/>
          <w:sz w:val="32"/>
          <w:szCs w:val="32"/>
          <w:lang w:eastAsia="zh-CN"/>
        </w:rPr>
        <w:t>申请人及其代理人引述指导性案例作为行政复议申请理由的，以及被申请人引述指导性案例作为行政行为合法依据的，行政复议决定应当对是否参照该指导性案例作出回应并说明理由。</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十四</w:t>
      </w:r>
      <w:r>
        <w:rPr>
          <w:rFonts w:hint="eastAsia" w:ascii="仿宋_GB2312" w:eastAsia="黑体"/>
          <w:sz w:val="32"/>
          <w:szCs w:val="32"/>
        </w:rPr>
        <w:t>条</w:t>
      </w:r>
      <w:r>
        <w:rPr>
          <w:rFonts w:hint="eastAsia" w:ascii="仿宋_GB2312" w:eastAsia="黑体"/>
          <w:sz w:val="32"/>
          <w:szCs w:val="32"/>
          <w:lang w:val="en-US" w:eastAsia="zh-CN"/>
        </w:rPr>
        <w:t xml:space="preserve"> </w:t>
      </w:r>
      <w:r>
        <w:rPr>
          <w:rFonts w:hint="eastAsia" w:ascii="仿宋_GB2312" w:eastAsia="仿宋_GB2312"/>
          <w:sz w:val="32"/>
          <w:szCs w:val="32"/>
        </w:rPr>
        <w:t>（协调</w:t>
      </w:r>
      <w:r>
        <w:rPr>
          <w:rFonts w:hint="eastAsia" w:ascii="仿宋_GB2312" w:eastAsia="仿宋_GB2312"/>
          <w:sz w:val="32"/>
          <w:szCs w:val="32"/>
          <w:lang w:eastAsia="zh-CN"/>
        </w:rPr>
        <w:t>衔接</w:t>
      </w:r>
      <w:r>
        <w:rPr>
          <w:rFonts w:hint="eastAsia" w:ascii="仿宋_GB2312" w:eastAsia="仿宋_GB2312"/>
          <w:sz w:val="32"/>
          <w:szCs w:val="32"/>
        </w:rPr>
        <w:t>）</w:t>
      </w:r>
    </w:p>
    <w:p>
      <w:pPr>
        <w:spacing w:line="600" w:lineRule="exact"/>
        <w:ind w:firstLine="640" w:firstLineChars="200"/>
        <w:rPr>
          <w:rFonts w:hint="eastAsia" w:ascii="仿宋_GB2312" w:eastAsia="黑体"/>
          <w:sz w:val="32"/>
          <w:szCs w:val="32"/>
        </w:rPr>
      </w:pPr>
      <w:r>
        <w:rPr>
          <w:rFonts w:hint="eastAsia" w:ascii="仿宋_GB2312" w:eastAsia="仿宋_GB2312"/>
          <w:sz w:val="32"/>
          <w:szCs w:val="32"/>
        </w:rPr>
        <w:t>司法部开展指导</w:t>
      </w:r>
      <w:r>
        <w:rPr>
          <w:rFonts w:hint="eastAsia" w:ascii="仿宋_GB2312" w:eastAsia="仿宋_GB2312"/>
          <w:spacing w:val="-6"/>
          <w:sz w:val="32"/>
          <w:szCs w:val="32"/>
          <w:highlight w:val="none"/>
        </w:rPr>
        <w:t>性案例工作，应当加强与</w:t>
      </w:r>
      <w:r>
        <w:rPr>
          <w:rFonts w:hint="eastAsia" w:ascii="仿宋_GB2312" w:eastAsia="仿宋_GB2312"/>
          <w:spacing w:val="-6"/>
          <w:sz w:val="32"/>
          <w:szCs w:val="32"/>
          <w:highlight w:val="none"/>
          <w:lang w:eastAsia="zh-CN"/>
        </w:rPr>
        <w:t>最高人民法院、最高人民检察院、国务院有关</w:t>
      </w:r>
      <w:r>
        <w:rPr>
          <w:rFonts w:hint="eastAsia" w:ascii="仿宋_GB2312" w:eastAsia="仿宋_GB2312"/>
          <w:sz w:val="32"/>
          <w:szCs w:val="32"/>
          <w:lang w:eastAsia="zh-CN"/>
        </w:rPr>
        <w:t>部门</w:t>
      </w:r>
      <w:r>
        <w:rPr>
          <w:rFonts w:hint="eastAsia" w:ascii="仿宋_GB2312" w:eastAsia="仿宋_GB2312"/>
          <w:sz w:val="32"/>
          <w:szCs w:val="32"/>
        </w:rPr>
        <w:t>等单位的协调</w:t>
      </w:r>
      <w:r>
        <w:rPr>
          <w:rFonts w:hint="eastAsia" w:ascii="仿宋_GB2312" w:eastAsia="仿宋_GB2312"/>
          <w:sz w:val="32"/>
          <w:szCs w:val="32"/>
          <w:lang w:eastAsia="zh-CN"/>
        </w:rPr>
        <w:t>衔接，必要时可以会同有关单位共同发布指导性案例。</w:t>
      </w:r>
    </w:p>
    <w:p>
      <w:pPr>
        <w:spacing w:line="600" w:lineRule="exact"/>
        <w:ind w:firstLine="640" w:firstLineChars="200"/>
        <w:rPr>
          <w:rFonts w:ascii="仿宋_GB2312" w:eastAsia="仿宋_GB2312"/>
          <w:sz w:val="32"/>
          <w:szCs w:val="32"/>
        </w:rPr>
      </w:pPr>
      <w:r>
        <w:rPr>
          <w:rFonts w:hint="eastAsia" w:ascii="仿宋_GB2312" w:eastAsia="黑体"/>
          <w:sz w:val="32"/>
          <w:szCs w:val="32"/>
        </w:rPr>
        <w:t>第</w:t>
      </w:r>
      <w:r>
        <w:rPr>
          <w:rFonts w:hint="eastAsia" w:ascii="仿宋_GB2312" w:eastAsia="黑体"/>
          <w:sz w:val="32"/>
          <w:szCs w:val="32"/>
          <w:lang w:eastAsia="zh-CN"/>
        </w:rPr>
        <w:t>十五</w:t>
      </w:r>
      <w:r>
        <w:rPr>
          <w:rFonts w:hint="eastAsia" w:ascii="仿宋_GB2312" w:eastAsia="黑体"/>
          <w:sz w:val="32"/>
          <w:szCs w:val="32"/>
        </w:rPr>
        <w:t>条</w:t>
      </w:r>
      <w:r>
        <w:rPr>
          <w:rFonts w:hint="eastAsia" w:ascii="仿宋_GB2312" w:eastAsia="黑体"/>
          <w:sz w:val="32"/>
          <w:szCs w:val="32"/>
          <w:lang w:val="en-US" w:eastAsia="zh-CN"/>
        </w:rPr>
        <w:t xml:space="preserve"> </w:t>
      </w:r>
      <w:r>
        <w:rPr>
          <w:rFonts w:hint="eastAsia" w:ascii="仿宋_GB2312" w:eastAsia="仿宋_GB2312"/>
          <w:sz w:val="32"/>
          <w:szCs w:val="32"/>
        </w:rPr>
        <w:t>（编纂</w:t>
      </w:r>
      <w:r>
        <w:rPr>
          <w:rFonts w:hint="eastAsia" w:ascii="仿宋_GB2312" w:eastAsia="仿宋_GB2312"/>
          <w:sz w:val="32"/>
          <w:szCs w:val="32"/>
          <w:lang w:eastAsia="zh-CN"/>
        </w:rPr>
        <w:t>清理</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司法部</w:t>
      </w:r>
      <w:r>
        <w:rPr>
          <w:rFonts w:hint="eastAsia" w:ascii="仿宋_GB2312" w:eastAsia="仿宋_GB2312"/>
          <w:sz w:val="32"/>
          <w:szCs w:val="32"/>
          <w:lang w:eastAsia="zh-CN"/>
        </w:rPr>
        <w:t>定期对指导性</w:t>
      </w:r>
      <w:r>
        <w:rPr>
          <w:rFonts w:hint="eastAsia" w:ascii="仿宋_GB2312" w:eastAsia="仿宋_GB2312"/>
          <w:sz w:val="32"/>
          <w:szCs w:val="32"/>
        </w:rPr>
        <w:t>案例</w:t>
      </w:r>
      <w:r>
        <w:rPr>
          <w:rFonts w:hint="eastAsia" w:ascii="仿宋_GB2312" w:eastAsia="仿宋_GB2312"/>
          <w:sz w:val="32"/>
          <w:szCs w:val="32"/>
          <w:lang w:eastAsia="zh-CN"/>
        </w:rPr>
        <w:t>进行</w:t>
      </w:r>
      <w:r>
        <w:rPr>
          <w:rFonts w:hint="eastAsia" w:ascii="仿宋_GB2312" w:eastAsia="仿宋_GB2312"/>
          <w:sz w:val="32"/>
          <w:szCs w:val="32"/>
        </w:rPr>
        <w:t>编纂</w:t>
      </w:r>
      <w:r>
        <w:rPr>
          <w:rFonts w:hint="eastAsia" w:ascii="仿宋_GB2312" w:eastAsia="仿宋_GB2312"/>
          <w:sz w:val="32"/>
          <w:szCs w:val="32"/>
          <w:lang w:eastAsia="zh-CN"/>
        </w:rPr>
        <w:t>和清理。</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指导性案例有下列情形之一的，不再具有指导作用：</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（一）援引的法律、法规、规章被废止；</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（二）与新的法律、法规、规章相冲突；</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（三）被新发布的指导性案例取代；</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（四）其他不适宜作为指导性案例的情形。</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十六</w:t>
      </w:r>
      <w:r>
        <w:rPr>
          <w:rFonts w:hint="eastAsia" w:ascii="仿宋_GB2312" w:eastAsia="黑体"/>
          <w:sz w:val="32"/>
          <w:szCs w:val="32"/>
        </w:rPr>
        <w:t>条</w:t>
      </w:r>
      <w:r>
        <w:rPr>
          <w:rFonts w:hint="eastAsia" w:ascii="仿宋_GB2312" w:eastAsia="黑体"/>
          <w:sz w:val="32"/>
          <w:szCs w:val="32"/>
          <w:lang w:val="en-US" w:eastAsia="zh-CN"/>
        </w:rPr>
        <w:t xml:space="preserve"> </w:t>
      </w:r>
      <w:r>
        <w:rPr>
          <w:rFonts w:hint="eastAsia" w:ascii="仿宋_GB2312" w:eastAsia="仿宋_GB2312"/>
          <w:sz w:val="32"/>
          <w:szCs w:val="32"/>
        </w:rPr>
        <w:t>（学习培训）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各级行政复议机构应当将指导性案例纳入业务培训</w:t>
      </w:r>
      <w:r>
        <w:rPr>
          <w:rFonts w:hint="eastAsia" w:ascii="仿宋_GB2312" w:eastAsia="仿宋_GB2312"/>
          <w:sz w:val="32"/>
          <w:szCs w:val="32"/>
          <w:lang w:eastAsia="zh-CN"/>
        </w:rPr>
        <w:t>范围</w:t>
      </w:r>
      <w:r>
        <w:rPr>
          <w:rFonts w:hint="eastAsia" w:ascii="仿宋_GB2312" w:eastAsia="仿宋_GB2312"/>
          <w:sz w:val="32"/>
          <w:szCs w:val="32"/>
        </w:rPr>
        <w:t>，加强对指导性案例的学习应用。</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十七</w:t>
      </w:r>
      <w:r>
        <w:rPr>
          <w:rFonts w:hint="eastAsia" w:ascii="仿宋_GB2312" w:eastAsia="黑体"/>
          <w:sz w:val="32"/>
          <w:szCs w:val="32"/>
        </w:rPr>
        <w:t>条</w:t>
      </w:r>
      <w:r>
        <w:rPr>
          <w:rFonts w:hint="eastAsia" w:ascii="仿宋_GB2312" w:eastAsia="仿宋_GB2312"/>
          <w:b/>
          <w:sz w:val="32"/>
          <w:szCs w:val="32"/>
        </w:rPr>
        <w:t xml:space="preserve"> </w:t>
      </w:r>
      <w:r>
        <w:rPr>
          <w:rFonts w:hint="eastAsia" w:ascii="仿宋_GB2312" w:eastAsia="仿宋_GB2312"/>
          <w:sz w:val="32"/>
          <w:szCs w:val="32"/>
        </w:rPr>
        <w:t>（</w:t>
      </w:r>
      <w:r>
        <w:rPr>
          <w:rFonts w:hint="eastAsia" w:ascii="仿宋_GB2312" w:eastAsia="仿宋_GB2312"/>
          <w:sz w:val="32"/>
          <w:szCs w:val="32"/>
          <w:lang w:eastAsia="zh-CN"/>
        </w:rPr>
        <w:t>表扬激励</w:t>
      </w:r>
      <w:r>
        <w:rPr>
          <w:rFonts w:hint="eastAsia" w:ascii="仿宋_GB2312" w:eastAsia="仿宋_GB2312"/>
          <w:sz w:val="32"/>
          <w:szCs w:val="32"/>
        </w:rPr>
        <w:t>）</w:t>
      </w:r>
    </w:p>
    <w:p>
      <w:pPr>
        <w:numPr>
          <w:ilvl w:val="255"/>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各级行政复议机构</w:t>
      </w:r>
      <w:r>
        <w:rPr>
          <w:rFonts w:hint="eastAsia" w:ascii="仿宋_GB2312" w:eastAsia="仿宋_GB2312"/>
          <w:sz w:val="32"/>
          <w:szCs w:val="32"/>
        </w:rPr>
        <w:t>对于在指导性案例工作中成绩突出的单位和个人，按</w:t>
      </w:r>
      <w:r>
        <w:rPr>
          <w:rFonts w:hint="eastAsia" w:ascii="仿宋_GB2312" w:eastAsia="仿宋_GB2312"/>
          <w:sz w:val="32"/>
          <w:szCs w:val="32"/>
          <w:lang w:eastAsia="zh-CN"/>
        </w:rPr>
        <w:t>国家有关</w:t>
      </w:r>
      <w:r>
        <w:rPr>
          <w:rFonts w:hint="eastAsia" w:ascii="仿宋_GB2312" w:eastAsia="仿宋_GB2312"/>
          <w:sz w:val="32"/>
          <w:szCs w:val="32"/>
        </w:rPr>
        <w:t>规定给予</w:t>
      </w:r>
      <w:r>
        <w:rPr>
          <w:rFonts w:hint="eastAsia" w:ascii="仿宋_GB2312" w:eastAsia="仿宋_GB2312"/>
          <w:sz w:val="32"/>
          <w:szCs w:val="32"/>
          <w:lang w:eastAsia="zh-CN"/>
        </w:rPr>
        <w:t>表扬</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黑体"/>
          <w:sz w:val="32"/>
          <w:szCs w:val="32"/>
        </w:rPr>
        <w:t>第</w:t>
      </w:r>
      <w:r>
        <w:rPr>
          <w:rFonts w:hint="eastAsia" w:ascii="仿宋_GB2312" w:eastAsia="黑体"/>
          <w:sz w:val="32"/>
          <w:szCs w:val="32"/>
          <w:lang w:eastAsia="zh-CN"/>
        </w:rPr>
        <w:t>十八</w:t>
      </w:r>
      <w:r>
        <w:rPr>
          <w:rFonts w:hint="eastAsia" w:ascii="仿宋_GB2312" w:eastAsia="黑体"/>
          <w:sz w:val="32"/>
          <w:szCs w:val="32"/>
        </w:rPr>
        <w:t>条</w:t>
      </w:r>
      <w:r>
        <w:rPr>
          <w:rFonts w:hint="eastAsia" w:ascii="仿宋_GB2312" w:eastAsia="仿宋_GB2312"/>
          <w:b/>
          <w:sz w:val="32"/>
          <w:szCs w:val="32"/>
        </w:rPr>
        <w:t xml:space="preserve"> </w:t>
      </w:r>
      <w:r>
        <w:rPr>
          <w:rFonts w:hint="eastAsia" w:ascii="仿宋_GB2312" w:eastAsia="仿宋_GB2312"/>
          <w:sz w:val="32"/>
          <w:szCs w:val="32"/>
        </w:rPr>
        <w:t>（施行）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本规定自</w:t>
      </w:r>
      <w:r>
        <w:rPr>
          <w:rFonts w:hint="eastAsia" w:ascii="仿宋_GB2312" w:eastAsia="仿宋_GB2312"/>
          <w:sz w:val="32"/>
          <w:szCs w:val="32"/>
          <w:lang w:eastAsia="zh-CN"/>
        </w:rPr>
        <w:t>公布之日</w:t>
      </w:r>
      <w:r>
        <w:rPr>
          <w:rFonts w:hint="eastAsia" w:ascii="仿宋_GB2312" w:eastAsia="仿宋_GB2312"/>
          <w:sz w:val="32"/>
          <w:szCs w:val="32"/>
        </w:rPr>
        <w:t>起施行。</w:t>
      </w:r>
    </w:p>
    <w:p>
      <w:pPr>
        <w:spacing w:line="560" w:lineRule="exact"/>
        <w:ind w:firstLine="0" w:firstLineChars="0"/>
        <w:rPr>
          <w:rFonts w:hint="eastAsia" w:ascii="黑体" w:hAnsi="黑体" w:eastAsia="黑体" w:cs="黑体"/>
          <w:sz w:val="32"/>
          <w:szCs w:val="32"/>
        </w:rPr>
      </w:pPr>
    </w:p>
    <w:p>
      <w:pPr>
        <w:widowControl/>
        <w:numPr>
          <w:ilvl w:val="0"/>
          <w:numId w:val="0"/>
        </w:numPr>
        <w:spacing w:line="600" w:lineRule="exact"/>
        <w:ind w:firstLine="0" w:firstLineChars="0"/>
        <w:jc w:val="left"/>
        <w:rPr>
          <w:rFonts w:hint="eastAsia" w:ascii="仿宋_GB2312" w:eastAsia="仿宋_GB2312"/>
          <w:sz w:val="32"/>
          <w:szCs w:val="32"/>
        </w:rPr>
      </w:pPr>
    </w:p>
    <w:sectPr>
      <w:footerReference r:id="rId3" w:type="default"/>
      <w:pgSz w:w="11906" w:h="16838"/>
      <w:pgMar w:top="1814" w:right="1474" w:bottom="175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10F21"/>
    <w:rsid w:val="000132FC"/>
    <w:rsid w:val="000A7190"/>
    <w:rsid w:val="000E7EA6"/>
    <w:rsid w:val="002E7C7B"/>
    <w:rsid w:val="0035238F"/>
    <w:rsid w:val="00411EB3"/>
    <w:rsid w:val="0045602E"/>
    <w:rsid w:val="00510F21"/>
    <w:rsid w:val="00532FAF"/>
    <w:rsid w:val="00582545"/>
    <w:rsid w:val="00595051"/>
    <w:rsid w:val="005C3C51"/>
    <w:rsid w:val="005F7957"/>
    <w:rsid w:val="00676113"/>
    <w:rsid w:val="00696A65"/>
    <w:rsid w:val="006F144D"/>
    <w:rsid w:val="00714EE4"/>
    <w:rsid w:val="007A2341"/>
    <w:rsid w:val="00856DF8"/>
    <w:rsid w:val="0086715C"/>
    <w:rsid w:val="008B7AC2"/>
    <w:rsid w:val="008C4F7E"/>
    <w:rsid w:val="008C6255"/>
    <w:rsid w:val="00906DEA"/>
    <w:rsid w:val="00956ECB"/>
    <w:rsid w:val="00987AFB"/>
    <w:rsid w:val="00994253"/>
    <w:rsid w:val="00995FC9"/>
    <w:rsid w:val="009C2157"/>
    <w:rsid w:val="00A319F4"/>
    <w:rsid w:val="00A557C0"/>
    <w:rsid w:val="00A80A03"/>
    <w:rsid w:val="00AC4301"/>
    <w:rsid w:val="00B16C15"/>
    <w:rsid w:val="00B443B6"/>
    <w:rsid w:val="00B86714"/>
    <w:rsid w:val="00B90F1D"/>
    <w:rsid w:val="00B91342"/>
    <w:rsid w:val="00BF0E48"/>
    <w:rsid w:val="00C527EE"/>
    <w:rsid w:val="00D2061D"/>
    <w:rsid w:val="00D44AE7"/>
    <w:rsid w:val="00E344B5"/>
    <w:rsid w:val="00E97165"/>
    <w:rsid w:val="00EA1B32"/>
    <w:rsid w:val="00EB1E74"/>
    <w:rsid w:val="00F45732"/>
    <w:rsid w:val="00FC351C"/>
    <w:rsid w:val="05412785"/>
    <w:rsid w:val="0A6D97E0"/>
    <w:rsid w:val="0EBE44C2"/>
    <w:rsid w:val="0F3DF2CF"/>
    <w:rsid w:val="136BEDBE"/>
    <w:rsid w:val="15B79B7B"/>
    <w:rsid w:val="1BFDFFB8"/>
    <w:rsid w:val="1F7C8C55"/>
    <w:rsid w:val="25FDEF00"/>
    <w:rsid w:val="275DD3D8"/>
    <w:rsid w:val="2A9A1E2C"/>
    <w:rsid w:val="2DF2C781"/>
    <w:rsid w:val="2FF0AF3C"/>
    <w:rsid w:val="37EE2F91"/>
    <w:rsid w:val="3D4B64B0"/>
    <w:rsid w:val="3DBC4459"/>
    <w:rsid w:val="3F93DE18"/>
    <w:rsid w:val="3F9B7D74"/>
    <w:rsid w:val="3FF5E73E"/>
    <w:rsid w:val="3FF6704F"/>
    <w:rsid w:val="3FF766AB"/>
    <w:rsid w:val="3FFF85ED"/>
    <w:rsid w:val="45E071B1"/>
    <w:rsid w:val="46EE4B86"/>
    <w:rsid w:val="4DE42E58"/>
    <w:rsid w:val="4F6F1AC9"/>
    <w:rsid w:val="4FFFFA41"/>
    <w:rsid w:val="577FDBDB"/>
    <w:rsid w:val="57BBB68D"/>
    <w:rsid w:val="587FDE63"/>
    <w:rsid w:val="5DEB43DF"/>
    <w:rsid w:val="5F6E485F"/>
    <w:rsid w:val="5F7B00B9"/>
    <w:rsid w:val="5FCA9ACF"/>
    <w:rsid w:val="5FFC94B8"/>
    <w:rsid w:val="5FFF8466"/>
    <w:rsid w:val="62F76F5B"/>
    <w:rsid w:val="67EFDA27"/>
    <w:rsid w:val="6F37A6AE"/>
    <w:rsid w:val="6F77E1AE"/>
    <w:rsid w:val="6F7E4EB6"/>
    <w:rsid w:val="6F9776BC"/>
    <w:rsid w:val="6FBF204E"/>
    <w:rsid w:val="6FC5CD2F"/>
    <w:rsid w:val="6FF99184"/>
    <w:rsid w:val="6FFBE199"/>
    <w:rsid w:val="6FFF08B1"/>
    <w:rsid w:val="6FFF28F7"/>
    <w:rsid w:val="6FFFD204"/>
    <w:rsid w:val="70BCE816"/>
    <w:rsid w:val="71DE5F8E"/>
    <w:rsid w:val="732E892A"/>
    <w:rsid w:val="737EBCBE"/>
    <w:rsid w:val="73EB03E9"/>
    <w:rsid w:val="73FFB420"/>
    <w:rsid w:val="75E6EE87"/>
    <w:rsid w:val="767FD909"/>
    <w:rsid w:val="769DF9B7"/>
    <w:rsid w:val="76BCFA6C"/>
    <w:rsid w:val="76DDE7AB"/>
    <w:rsid w:val="7737BF4D"/>
    <w:rsid w:val="7739E67C"/>
    <w:rsid w:val="779F7D08"/>
    <w:rsid w:val="77DD6A23"/>
    <w:rsid w:val="77FE9CBE"/>
    <w:rsid w:val="77FF4D6E"/>
    <w:rsid w:val="7A46D5F9"/>
    <w:rsid w:val="7AFF806E"/>
    <w:rsid w:val="7BD4F1C6"/>
    <w:rsid w:val="7BDFE4E5"/>
    <w:rsid w:val="7BFDDCFE"/>
    <w:rsid w:val="7CF92C53"/>
    <w:rsid w:val="7D3531EE"/>
    <w:rsid w:val="7DBD667B"/>
    <w:rsid w:val="7DF762B7"/>
    <w:rsid w:val="7DFBDC55"/>
    <w:rsid w:val="7DFF61FD"/>
    <w:rsid w:val="7EBD1C0D"/>
    <w:rsid w:val="7EE94193"/>
    <w:rsid w:val="7F1F9F39"/>
    <w:rsid w:val="7F73D33B"/>
    <w:rsid w:val="7FA16891"/>
    <w:rsid w:val="7FB5D01A"/>
    <w:rsid w:val="7FBA9837"/>
    <w:rsid w:val="7FBB18D1"/>
    <w:rsid w:val="7FDB4255"/>
    <w:rsid w:val="7FEE594D"/>
    <w:rsid w:val="7FEFB41A"/>
    <w:rsid w:val="7FEFF4F3"/>
    <w:rsid w:val="8FFDAFD7"/>
    <w:rsid w:val="9EFE49F5"/>
    <w:rsid w:val="A7E9CB58"/>
    <w:rsid w:val="A7F97355"/>
    <w:rsid w:val="A85E9EF9"/>
    <w:rsid w:val="AEFEA788"/>
    <w:rsid w:val="AFFF6A9A"/>
    <w:rsid w:val="BBDF9330"/>
    <w:rsid w:val="BBFFBA51"/>
    <w:rsid w:val="BBFFFED3"/>
    <w:rsid w:val="BD875AAF"/>
    <w:rsid w:val="BEEE72A5"/>
    <w:rsid w:val="BEF6D4FA"/>
    <w:rsid w:val="BF5CC7F8"/>
    <w:rsid w:val="BFB72486"/>
    <w:rsid w:val="BFDCEAB9"/>
    <w:rsid w:val="BFF70AD6"/>
    <w:rsid w:val="BFFDB68F"/>
    <w:rsid w:val="C77FE658"/>
    <w:rsid w:val="CCFB7099"/>
    <w:rsid w:val="CDFCD427"/>
    <w:rsid w:val="CFF323B5"/>
    <w:rsid w:val="CFFF8A16"/>
    <w:rsid w:val="D57876D5"/>
    <w:rsid w:val="D7DFD908"/>
    <w:rsid w:val="D7FCE922"/>
    <w:rsid w:val="D7FFCE6B"/>
    <w:rsid w:val="DAAFBFAC"/>
    <w:rsid w:val="DBBF2E3A"/>
    <w:rsid w:val="DBF6713B"/>
    <w:rsid w:val="DEFF6EDB"/>
    <w:rsid w:val="E7B78466"/>
    <w:rsid w:val="EBEF1BB4"/>
    <w:rsid w:val="ED7FFD80"/>
    <w:rsid w:val="EDB373AB"/>
    <w:rsid w:val="EDF00840"/>
    <w:rsid w:val="EE39AE6B"/>
    <w:rsid w:val="EF578098"/>
    <w:rsid w:val="EF9C6934"/>
    <w:rsid w:val="EFBF1624"/>
    <w:rsid w:val="EFEB7006"/>
    <w:rsid w:val="EFF7B1DF"/>
    <w:rsid w:val="EFF98EB1"/>
    <w:rsid w:val="EFFD92AE"/>
    <w:rsid w:val="F3DF44E6"/>
    <w:rsid w:val="F3FF01A8"/>
    <w:rsid w:val="F4D475F3"/>
    <w:rsid w:val="F4F3DA99"/>
    <w:rsid w:val="F77B2EEF"/>
    <w:rsid w:val="F7DF8B12"/>
    <w:rsid w:val="F84FE687"/>
    <w:rsid w:val="F9331CE1"/>
    <w:rsid w:val="F9EFECC7"/>
    <w:rsid w:val="F9FED444"/>
    <w:rsid w:val="FB3F297C"/>
    <w:rsid w:val="FB62DC82"/>
    <w:rsid w:val="FBB7E5CB"/>
    <w:rsid w:val="FBF18BF2"/>
    <w:rsid w:val="FBF6D49D"/>
    <w:rsid w:val="FD2F3283"/>
    <w:rsid w:val="FDA76582"/>
    <w:rsid w:val="FDE570B7"/>
    <w:rsid w:val="FF1FCCEA"/>
    <w:rsid w:val="FF477C52"/>
    <w:rsid w:val="FF5FB3C1"/>
    <w:rsid w:val="FF7C4ECD"/>
    <w:rsid w:val="FFAFC122"/>
    <w:rsid w:val="FFAFD6A4"/>
    <w:rsid w:val="FFBEBDFD"/>
    <w:rsid w:val="FFD942E1"/>
    <w:rsid w:val="FFDB40BE"/>
    <w:rsid w:val="FFECB7D0"/>
    <w:rsid w:val="FFF31492"/>
    <w:rsid w:val="FFF91FC3"/>
    <w:rsid w:val="FFFCB67B"/>
    <w:rsid w:val="FFFF96F8"/>
    <w:rsid w:val="FFFFC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3">
    <w:name w:val="toc 5"/>
    <w:next w:val="1"/>
    <w:qFormat/>
    <w:uiPriority w:val="0"/>
    <w:pPr>
      <w:widowControl w:val="0"/>
      <w:ind w:left="1680" w:leftChars="800"/>
      <w:jc w:val="both"/>
    </w:pPr>
    <w:rPr>
      <w:rFonts w:ascii="Times New Roman" w:hAnsi="Times New Roman" w:eastAsia="宋体" w:cs="Times New Roman"/>
      <w:kern w:val="2"/>
      <w:sz w:val="21"/>
      <w:lang w:val="en-US" w:eastAsia="zh-CN" w:bidi="ar-SA"/>
    </w:rPr>
  </w:style>
  <w:style w:type="paragraph" w:styleId="4">
    <w:name w:val="annotation text"/>
    <w:basedOn w:val="1"/>
    <w:link w:val="12"/>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批注文字 Char"/>
    <w:basedOn w:val="10"/>
    <w:link w:val="4"/>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10"/>
    <w:link w:val="5"/>
    <w:semiHidden/>
    <w:qFormat/>
    <w:uiPriority w:val="99"/>
    <w:rPr>
      <w:sz w:val="18"/>
      <w:szCs w:val="18"/>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501</Words>
  <Characters>2862</Characters>
  <Lines>23</Lines>
  <Paragraphs>6</Paragraphs>
  <TotalTime>7</TotalTime>
  <ScaleCrop>false</ScaleCrop>
  <LinksUpToDate>false</LinksUpToDate>
  <CharactersWithSpaces>3357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2009-03-01T17:09:00Z</dcterms:created>
  <dc:creator>Administrator</dc:creator>
  <cp:lastModifiedBy>wenn</cp:lastModifiedBy>
  <cp:lastPrinted>2024-07-16T22:35:00Z</cp:lastPrinted>
  <dcterms:modified xsi:type="dcterms:W3CDTF">2024-07-23T08:36:42Z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52FB033BAA474116A9129DF644A4479E_13</vt:lpwstr>
  </property>
</Properties>
</file>