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ascii="黑体" w:hAnsi="黑体" w:eastAsia="黑体"/>
          <w:color w:val="000000"/>
          <w:sz w:val="32"/>
          <w:szCs w:val="32"/>
        </w:rPr>
      </w:pPr>
      <w:r>
        <w:rPr>
          <w:rFonts w:hint="eastAsia" w:ascii="黑体" w:hAnsi="黑体" w:eastAsia="黑体"/>
          <w:color w:val="000000"/>
          <w:sz w:val="32"/>
          <w:szCs w:val="32"/>
        </w:rPr>
        <w:t>附件：</w:t>
      </w:r>
    </w:p>
    <w:p>
      <w:pPr>
        <w:spacing w:line="360" w:lineRule="auto"/>
        <w:jc w:val="center"/>
        <w:outlineLvl w:val="0"/>
        <w:rPr>
          <w:rFonts w:asciiTheme="majorEastAsia" w:hAnsiTheme="majorEastAsia" w:eastAsiaTheme="majorEastAsia"/>
          <w:color w:val="000000"/>
          <w:sz w:val="36"/>
          <w:szCs w:val="36"/>
        </w:rPr>
      </w:pPr>
      <w:r>
        <w:rPr>
          <w:rFonts w:hint="eastAsia" w:asciiTheme="majorEastAsia" w:hAnsiTheme="majorEastAsia" w:eastAsiaTheme="majorEastAsia"/>
          <w:color w:val="000000"/>
          <w:sz w:val="36"/>
          <w:szCs w:val="36"/>
        </w:rPr>
        <w:t>保外就医严重疾病范围</w:t>
      </w:r>
    </w:p>
    <w:p>
      <w:pPr>
        <w:spacing w:line="360" w:lineRule="auto"/>
        <w:jc w:val="center"/>
        <w:outlineLvl w:val="0"/>
        <w:rPr>
          <w:rFonts w:ascii="宋体" w:hAnsi="宋体"/>
          <w:color w:val="000000"/>
          <w:sz w:val="32"/>
          <w:szCs w:val="32"/>
        </w:rPr>
      </w:pP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罪犯有下列严重疾病之一</w:t>
      </w:r>
      <w:bookmarkStart w:id="0" w:name="_GoBack"/>
      <w:bookmarkEnd w:id="0"/>
      <w:r>
        <w:rPr>
          <w:rFonts w:hint="eastAsia" w:ascii="仿宋_GB2312" w:eastAsia="仿宋_GB2312"/>
          <w:color w:val="000000"/>
          <w:spacing w:val="20"/>
          <w:sz w:val="32"/>
          <w:szCs w:val="32"/>
        </w:rPr>
        <w:t>，久治不愈，严重影响其身心健康的，属于适用保外就医的疾病范围：</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一、严重传染病</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1.肺结核伴空洞并反复咯血；肺结核合并多脏器并发症；结核性脑膜炎。</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2.急性、亚急性或慢性重型病毒性肝炎。</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3.艾滋病病毒感染者和病人伴有需要住院治疗的机会性感染。</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4.其他传染病，如Ⅲ期梅毒并发主要脏器病变的，流行性出血热，狂犬病，流行性脑脊髓膜炎及新发传染病等监狱医院不具备治疗条件的。</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二、反复发作的，无服刑能力的各种精神病，如脑器质性精神障碍、精神分裂症、心境障碍、偏执性精神障碍等，但有严重暴力行为或倾向，对社会安全构成潜在威胁的除外。</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三、严重器质性心血管疾病</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1.心脏功能不全：心脏功能在NYHA三级以上，经规范治疗未见好转。（可由冠状动脉粥样硬化性心脏病、高血压性心脏病、风湿性心脏病、肺源性心脏病、先天性心脏病、心肌病、重度心肌炎、心包炎等引起。）</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2.严重心律失常：如频发多源室性期前收缩或有R on T表现、导致血流动力学改变的心房纤颤、二度以上房室传导阻滞、阵发性室性心动过速、病态窦房结综合征等。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3.急性冠状动脉综合征（急性心肌梗死及重度不稳定型心绞痛），冠状动脉粥样硬化性心脏病有严重心绞痛反复发作，经规范治疗仍有严重冠状动脉供血不足表现。</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4.高血压病达到很高危程度的，合并靶器官受损。具体参见注释中靶器官受损相应条款。</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5.主动脉瘤、主动脉夹层动脉瘤等需要手术治疗的心血管动脉瘤和粘液瘤等需要手术的心脏肿瘤；或者不需要、难以手术治疗，但病情严重危及生命或者存在严重并发症，且监狱医院不具备治疗条件的心血管疾病。</w:t>
      </w:r>
    </w:p>
    <w:p>
      <w:pPr>
        <w:adjustRightInd w:val="0"/>
        <w:snapToGrid w:val="0"/>
        <w:spacing w:line="360" w:lineRule="auto"/>
        <w:ind w:firstLine="720" w:firstLineChars="200"/>
        <w:rPr>
          <w:rFonts w:ascii="仿宋_GB2312" w:eastAsia="仿宋_GB2312"/>
          <w:color w:val="000000"/>
          <w:spacing w:val="20"/>
          <w:sz w:val="32"/>
          <w:szCs w:val="32"/>
        </w:rPr>
      </w:pPr>
      <w:r>
        <w:rPr>
          <w:rFonts w:ascii="仿宋_GB2312" w:eastAsia="仿宋_GB2312"/>
          <w:color w:val="000000"/>
          <w:spacing w:val="20"/>
          <w:sz w:val="32"/>
          <w:szCs w:val="32"/>
        </w:rPr>
        <w:t>6.</w:t>
      </w:r>
      <w:r>
        <w:rPr>
          <w:rFonts w:hint="eastAsia" w:ascii="仿宋_GB2312" w:eastAsia="仿宋_GB2312"/>
          <w:color w:val="000000"/>
          <w:spacing w:val="20"/>
          <w:sz w:val="32"/>
          <w:szCs w:val="32"/>
        </w:rPr>
        <w:t>急性肺栓塞。</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四、严重</w:t>
      </w:r>
      <w:r>
        <w:rPr>
          <w:rFonts w:hint="eastAsia" w:ascii="仿宋_GB2312" w:eastAsia="仿宋_GB2312"/>
          <w:spacing w:val="20"/>
          <w:sz w:val="32"/>
          <w:szCs w:val="32"/>
        </w:rPr>
        <w:t>呼吸系统疾病</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w:t>
      </w:r>
      <w:r>
        <w:rPr>
          <w:rFonts w:hint="eastAsia" w:ascii="仿宋_GB2312" w:eastAsia="仿宋_GB2312"/>
          <w:spacing w:val="20"/>
          <w:sz w:val="32"/>
          <w:szCs w:val="32"/>
        </w:rPr>
        <w:t>严重呼吸功能障碍：由支气管、肺、胸膜疾病引起的中度以上呼吸功能障碍，</w:t>
      </w:r>
      <w:r>
        <w:rPr>
          <w:rFonts w:hint="eastAsia" w:ascii="仿宋_GB2312" w:eastAsia="仿宋_GB2312"/>
          <w:color w:val="000000"/>
          <w:spacing w:val="20"/>
          <w:sz w:val="32"/>
          <w:szCs w:val="32"/>
        </w:rPr>
        <w:t>经规范治疗未见好转</w:t>
      </w:r>
      <w:r>
        <w:rPr>
          <w:rFonts w:hint="eastAsia" w:ascii="仿宋_GB2312" w:eastAsia="仿宋_GB2312"/>
          <w:spacing w:val="20"/>
          <w:sz w:val="32"/>
          <w:szCs w:val="32"/>
        </w:rPr>
        <w:t>。</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2.支气管扩张反复咯血，经规范治疗未见好转。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3.支气管哮喘持续状态，反复发作，动脉血氧分压低于60mmHg，经规范治疗未见好转。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五、严重消化系统疾病</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1.肝硬化失代偿期（肝硬化合并上消化道出血、腹水、肝性脑病、肝肾综合征等）。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2.急性出血性坏死性胰腺炎。</w:t>
      </w:r>
    </w:p>
    <w:p>
      <w:pPr>
        <w:adjustRightInd w:val="0"/>
        <w:snapToGrid w:val="0"/>
        <w:spacing w:line="360" w:lineRule="auto"/>
        <w:ind w:firstLine="720" w:firstLineChars="200"/>
        <w:rPr>
          <w:rFonts w:ascii="仿宋_GB2312" w:eastAsia="仿宋_GB2312"/>
          <w:b/>
          <w:color w:val="000000"/>
          <w:spacing w:val="20"/>
          <w:sz w:val="32"/>
          <w:szCs w:val="32"/>
        </w:rPr>
      </w:pPr>
      <w:r>
        <w:rPr>
          <w:rFonts w:hint="eastAsia" w:ascii="仿宋_GB2312" w:eastAsia="仿宋_GB2312"/>
          <w:color w:val="000000"/>
          <w:spacing w:val="20"/>
          <w:sz w:val="32"/>
          <w:szCs w:val="32"/>
        </w:rPr>
        <w:t>3.</w:t>
      </w:r>
      <w:r>
        <w:rPr>
          <w:rFonts w:hint="eastAsia" w:ascii="仿宋_GB2312" w:eastAsia="仿宋_GB2312"/>
          <w:spacing w:val="20"/>
          <w:sz w:val="32"/>
          <w:szCs w:val="32"/>
        </w:rPr>
        <w:t>急性及亚急性肝衰竭、慢性肝衰竭加急性发作或慢性肝衰竭。</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4.消化道反复出血，经规范治疗未见好转且持续重度贫血。</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5.</w:t>
      </w:r>
      <w:r>
        <w:rPr>
          <w:rFonts w:hint="eastAsia" w:ascii="仿宋_GB2312" w:eastAsia="仿宋_GB2312"/>
          <w:spacing w:val="20"/>
          <w:sz w:val="32"/>
          <w:szCs w:val="32"/>
        </w:rPr>
        <w:t>急性梗阻性化脓性胆管炎，</w:t>
      </w:r>
      <w:r>
        <w:rPr>
          <w:rFonts w:hint="eastAsia" w:ascii="仿宋_GB2312" w:eastAsia="仿宋_GB2312"/>
          <w:color w:val="000000"/>
          <w:spacing w:val="20"/>
          <w:sz w:val="32"/>
          <w:szCs w:val="32"/>
        </w:rPr>
        <w:t>经规范治疗未见好转</w:t>
      </w:r>
      <w:r>
        <w:rPr>
          <w:rFonts w:hint="eastAsia" w:ascii="仿宋_GB2312" w:eastAsia="仿宋_GB2312"/>
          <w:spacing w:val="20"/>
          <w:sz w:val="32"/>
          <w:szCs w:val="32"/>
        </w:rPr>
        <w:t>。</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6.</w:t>
      </w:r>
      <w:r>
        <w:rPr>
          <w:rFonts w:hint="eastAsia" w:ascii="仿宋_GB2312" w:eastAsia="仿宋_GB2312"/>
          <w:spacing w:val="20"/>
          <w:sz w:val="32"/>
          <w:szCs w:val="32"/>
        </w:rPr>
        <w:t xml:space="preserve"> 肠道疾病：如克隆病、肠伤寒合并肠穿孔、出血坏死性小肠炎、全结肠切除、小肠切除四分之三等危及生命的。</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六、各种急、慢性肾脏疾病引起的肾功能不全失代偿期，如急性肾衰竭、慢性肾小球肾炎、慢性肾盂肾炎、肾结核、肾小动脉硬化、</w:t>
      </w:r>
      <w:r>
        <w:rPr>
          <w:rFonts w:hint="eastAsia" w:ascii="仿宋_GB2312" w:eastAsia="仿宋_GB2312"/>
          <w:spacing w:val="20"/>
          <w:sz w:val="32"/>
          <w:szCs w:val="32"/>
        </w:rPr>
        <w:t>免疫性肾病</w:t>
      </w:r>
      <w:r>
        <w:rPr>
          <w:rFonts w:hint="eastAsia" w:ascii="仿宋_GB2312" w:eastAsia="仿宋_GB2312"/>
          <w:color w:val="000000"/>
          <w:spacing w:val="20"/>
          <w:sz w:val="32"/>
          <w:szCs w:val="32"/>
        </w:rPr>
        <w:t>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七、严重神经系统疾病及损伤</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严重脑血管疾病、颅内器质性疾病并有昏睡以上意识障碍、肢体瘫痪、视力障碍等经规范治疗未见好转。如脑出血、蛛网膜下腔出血、脑血栓形成、脑栓塞、脑脓肿、乙型脑炎、结核性脑膜炎、化脓性脑膜炎及严重的脑外伤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2.各种脊髓疾病及周围神经疾病与损伤所致的肢体瘫痪、大小便失禁经规范治疗未见好转，生活难以自理。如脊髓炎、高位脊髓空洞症、脊髓压迫症、</w:t>
      </w:r>
      <w:r>
        <w:rPr>
          <w:rFonts w:hint="eastAsia" w:ascii="仿宋_GB2312" w:eastAsia="仿宋_GB2312"/>
          <w:spacing w:val="20"/>
          <w:sz w:val="32"/>
          <w:szCs w:val="32"/>
        </w:rPr>
        <w:t>运动神经元疾病</w:t>
      </w:r>
      <w:r>
        <w:rPr>
          <w:rFonts w:hint="eastAsia" w:ascii="仿宋_GB2312" w:eastAsia="仿宋_GB2312"/>
          <w:color w:val="000000"/>
          <w:spacing w:val="20"/>
          <w:sz w:val="32"/>
          <w:szCs w:val="32"/>
        </w:rPr>
        <w:t>（</w:t>
      </w:r>
      <w:r>
        <w:rPr>
          <w:rFonts w:hint="eastAsia" w:ascii="仿宋_GB2312" w:eastAsia="仿宋_GB2312"/>
          <w:spacing w:val="20"/>
          <w:sz w:val="32"/>
          <w:szCs w:val="32"/>
        </w:rPr>
        <w:t>包括肌萎缩侧索硬化、进行性脊肌萎缩症、原发性侧索硬化和进行性延髓麻痹）</w:t>
      </w:r>
      <w:r>
        <w:rPr>
          <w:rFonts w:hint="eastAsia" w:ascii="仿宋_GB2312" w:eastAsia="仿宋_GB2312"/>
          <w:color w:val="000000"/>
          <w:spacing w:val="20"/>
          <w:sz w:val="32"/>
          <w:szCs w:val="32"/>
        </w:rPr>
        <w:t>等；周围神经疾病，如多发性神经炎、周围神经损伤等</w:t>
      </w:r>
      <w:r>
        <w:rPr>
          <w:rFonts w:hint="eastAsia" w:ascii="仿宋" w:hAnsi="仿宋" w:eastAsia="仿宋"/>
          <w:color w:val="000000"/>
          <w:spacing w:val="20"/>
          <w:sz w:val="32"/>
          <w:szCs w:val="32"/>
        </w:rPr>
        <w:t>；</w:t>
      </w:r>
      <w:r>
        <w:rPr>
          <w:rFonts w:hint="eastAsia" w:ascii="仿宋_GB2312" w:eastAsia="仿宋_GB2312"/>
          <w:color w:val="000000"/>
          <w:spacing w:val="20"/>
          <w:sz w:val="32"/>
          <w:szCs w:val="32"/>
        </w:rPr>
        <w:t>急性炎症性脱髓鞘性多发性神经病；慢性炎症性脱髓鞘性多发性神经病。</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3.癫痫大发作，经规范治疗未见好转，每月发作仍多于两次。</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4.重症肌无力或进行性肌营养不良等疾病，严重影响呼吸和吞咽功能。</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sz w:val="32"/>
          <w:szCs w:val="32"/>
        </w:rPr>
        <w:t>5</w:t>
      </w:r>
      <w:r>
        <w:rPr>
          <w:rFonts w:hint="eastAsia" w:ascii="仿宋_GB2312" w:eastAsia="仿宋_GB2312"/>
          <w:color w:val="000000"/>
          <w:spacing w:val="20"/>
          <w:sz w:val="32"/>
          <w:szCs w:val="32"/>
        </w:rPr>
        <w:t>.</w:t>
      </w:r>
      <w:r>
        <w:rPr>
          <w:rFonts w:hint="eastAsia" w:ascii="仿宋_GB2312" w:eastAsia="仿宋_GB2312"/>
          <w:spacing w:val="20"/>
          <w:sz w:val="32"/>
          <w:szCs w:val="32"/>
        </w:rPr>
        <w:t>锥体外系疾病所致的肌张力障碍（肌张力过高或过低）和运动障碍（包括震颤、手足徐动、舞蹈样动作、扭转痉挛等出现生活难以自理）。如帕金森病及各类帕金森综合症、小舞蹈病、慢性进行性舞蹈病、肌紧张异常、秽语抽动综合症、迟发性运动障碍、投掷样舞动、阵发性手足徐动症、阵发性运动源性舞蹈手足徐动症、扭转痉挛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八、严重内分泌代谢性疾病合并重要脏器功能障碍，经规范治疗未见好转。如脑垂体瘤需要手术治疗、肢端肥大症、尿崩症、柯兴氏综合征、原发性醛固酮增多症、嗜铬细胞瘤、甲状腺机能亢进危象、甲状腺机能减退症出现严重心脏损害或出现粘液性水肿昏迷，甲状旁腺机能亢进及甲状旁腺机能减退症出现高钙危象或低钙血症。</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sz w:val="32"/>
          <w:szCs w:val="32"/>
        </w:rPr>
        <w:t>糖尿病合并严重并发症：糖尿病并发心、脑、肾、眼等严重并发症或伴发症，或合并难以控制的严重继发感染、严重酮症酸中毒或高渗性昏迷，</w:t>
      </w:r>
      <w:r>
        <w:rPr>
          <w:rFonts w:hint="eastAsia" w:ascii="仿宋_GB2312" w:eastAsia="仿宋_GB2312"/>
          <w:color w:val="000000"/>
          <w:spacing w:val="20"/>
          <w:sz w:val="32"/>
          <w:szCs w:val="32"/>
        </w:rPr>
        <w:t>经规范治疗未见好转</w:t>
      </w:r>
      <w:r>
        <w:rPr>
          <w:rFonts w:hint="eastAsia" w:ascii="仿宋_GB2312" w:eastAsia="仿宋_GB2312"/>
          <w:sz w:val="32"/>
          <w:szCs w:val="32"/>
        </w:rPr>
        <w:t>。</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sz w:val="32"/>
          <w:szCs w:val="32"/>
        </w:rPr>
        <w:t>心：诊断明确的冠状动脉粥样硬化性心脏，并出现以下情形之一的：1.有心绞痛反复发作，</w:t>
      </w:r>
      <w:r>
        <w:rPr>
          <w:rFonts w:hint="eastAsia" w:ascii="仿宋_GB2312" w:eastAsia="仿宋_GB2312"/>
          <w:color w:val="000000"/>
          <w:spacing w:val="20"/>
          <w:sz w:val="32"/>
          <w:szCs w:val="32"/>
        </w:rPr>
        <w:t>经规范治疗未见好转</w:t>
      </w:r>
      <w:r>
        <w:rPr>
          <w:rFonts w:hint="eastAsia" w:ascii="仿宋_GB2312" w:eastAsia="仿宋_GB2312"/>
          <w:sz w:val="32"/>
          <w:szCs w:val="32"/>
        </w:rPr>
        <w:t>仍有明显的冠状动脉供血不足的表现；2.心功能三级；3.心律失常（频发或多型性室早、新发束支传导阻滞、交界性心动过速、心房纤颤、心房扑动、二度及以上房室传导阻滞、阵发性室性心动过速、窦性停搏等）。</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sz w:val="32"/>
          <w:szCs w:val="32"/>
        </w:rPr>
        <w:t>脑：诊断明确的脑血管疾病，出现痴呆、失语、肢体肌力达</w:t>
      </w:r>
      <w:r>
        <w:rPr>
          <w:rFonts w:hint="eastAsia" w:ascii="仿宋_GB2312" w:eastAsia="仿宋_GB2312"/>
          <w:sz w:val="32"/>
          <w:szCs w:val="32"/>
        </w:rPr>
        <w:fldChar w:fldCharType="begin"/>
      </w:r>
      <w:r>
        <w:rPr>
          <w:rFonts w:hint="eastAsia" w:ascii="仿宋_GB2312" w:eastAsia="仿宋_GB2312"/>
          <w:sz w:val="32"/>
          <w:szCs w:val="32"/>
        </w:rPr>
        <w:instrText xml:space="preserve"> = 4 \* ROMAN </w:instrText>
      </w:r>
      <w:r>
        <w:rPr>
          <w:rFonts w:hint="eastAsia" w:ascii="仿宋_GB2312" w:eastAsia="仿宋_GB2312"/>
          <w:sz w:val="32"/>
          <w:szCs w:val="32"/>
        </w:rPr>
        <w:fldChar w:fldCharType="separate"/>
      </w:r>
      <w:r>
        <w:rPr>
          <w:rFonts w:hint="eastAsia" w:ascii="仿宋_GB2312" w:eastAsia="仿宋_GB2312"/>
          <w:sz w:val="32"/>
          <w:szCs w:val="32"/>
        </w:rPr>
        <w:t>IV</w:t>
      </w:r>
      <w:r>
        <w:rPr>
          <w:rFonts w:hint="eastAsia" w:ascii="仿宋_GB2312" w:eastAsia="仿宋_GB2312"/>
          <w:sz w:val="32"/>
          <w:szCs w:val="32"/>
        </w:rPr>
        <w:fldChar w:fldCharType="end"/>
      </w:r>
      <w:r>
        <w:rPr>
          <w:rFonts w:hint="eastAsia" w:ascii="仿宋_GB2312" w:eastAsia="仿宋_GB2312"/>
          <w:sz w:val="32"/>
          <w:szCs w:val="32"/>
        </w:rPr>
        <w:t>级以下。</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sz w:val="32"/>
          <w:szCs w:val="32"/>
        </w:rPr>
        <w:t>肾：诊断明确的糖尿病肾病，肌酐达到177mmol/L以上水平。</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hAnsi="Calibri" w:eastAsia="仿宋_GB2312"/>
          <w:sz w:val="32"/>
          <w:szCs w:val="32"/>
        </w:rPr>
        <w:t>眼：诊断明确的糖尿病视网膜病变，达到增殖以上。</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hAnsi="Calibri" w:eastAsia="仿宋_GB2312"/>
          <w:color w:val="000000"/>
          <w:spacing w:val="20"/>
          <w:sz w:val="32"/>
          <w:szCs w:val="32"/>
        </w:rPr>
        <w:t>九、严重血液系统疾病</w:t>
      </w:r>
    </w:p>
    <w:p>
      <w:pPr>
        <w:spacing w:line="360" w:lineRule="auto"/>
        <w:ind w:firstLine="720" w:firstLineChars="200"/>
        <w:rPr>
          <w:rFonts w:ascii="仿宋_GB2312" w:eastAsia="仿宋_GB2312"/>
          <w:sz w:val="32"/>
          <w:szCs w:val="32"/>
        </w:rPr>
      </w:pPr>
      <w:r>
        <w:rPr>
          <w:rFonts w:hint="eastAsia" w:ascii="仿宋_GB2312" w:hAnsi="Calibri" w:eastAsia="仿宋_GB2312"/>
          <w:color w:val="000000"/>
          <w:spacing w:val="20"/>
          <w:sz w:val="32"/>
          <w:szCs w:val="32"/>
        </w:rPr>
        <w:t>1.</w:t>
      </w:r>
      <w:r>
        <w:rPr>
          <w:rFonts w:hint="eastAsia" w:ascii="仿宋_GB2312" w:hAnsi="Calibri" w:eastAsia="仿宋_GB2312"/>
          <w:spacing w:val="20"/>
          <w:sz w:val="32"/>
          <w:szCs w:val="32"/>
        </w:rPr>
        <w:t>再生障碍性贫血。</w:t>
      </w:r>
    </w:p>
    <w:p>
      <w:pPr>
        <w:spacing w:line="360" w:lineRule="auto"/>
        <w:ind w:firstLine="720" w:firstLineChars="200"/>
        <w:rPr>
          <w:rFonts w:ascii="仿宋_GB2312" w:eastAsia="仿宋_GB2312"/>
          <w:sz w:val="32"/>
          <w:szCs w:val="32"/>
        </w:rPr>
      </w:pPr>
      <w:r>
        <w:rPr>
          <w:rFonts w:hint="eastAsia" w:ascii="仿宋_GB2312" w:hAnsi="Calibri" w:eastAsia="仿宋_GB2312"/>
          <w:color w:val="000000"/>
          <w:spacing w:val="20"/>
          <w:sz w:val="32"/>
          <w:szCs w:val="32"/>
        </w:rPr>
        <w:t>2.</w:t>
      </w:r>
      <w:r>
        <w:rPr>
          <w:rFonts w:hint="eastAsia" w:ascii="仿宋_GB2312" w:eastAsia="仿宋_GB2312"/>
          <w:color w:val="000000"/>
          <w:spacing w:val="20"/>
          <w:sz w:val="32"/>
          <w:szCs w:val="32"/>
        </w:rPr>
        <w:t>严重贫血并有贫血性心脏病、溶血危象、脾功能亢进其中一项，经规范治疗未见好转。</w:t>
      </w:r>
    </w:p>
    <w:p>
      <w:pPr>
        <w:spacing w:line="360" w:lineRule="auto"/>
        <w:ind w:firstLine="720" w:firstLineChars="200"/>
        <w:rPr>
          <w:rFonts w:ascii="仿宋_GB2312" w:eastAsia="仿宋_GB2312"/>
          <w:sz w:val="32"/>
          <w:szCs w:val="32"/>
        </w:rPr>
      </w:pPr>
      <w:r>
        <w:rPr>
          <w:rFonts w:hint="eastAsia" w:ascii="仿宋_GB2312" w:eastAsia="仿宋_GB2312"/>
          <w:color w:val="000000"/>
          <w:spacing w:val="20"/>
          <w:sz w:val="32"/>
          <w:szCs w:val="32"/>
        </w:rPr>
        <w:t>3.</w:t>
      </w:r>
      <w:r>
        <w:rPr>
          <w:rFonts w:hint="eastAsia" w:ascii="仿宋_GB2312" w:hAnsi="Calibri" w:eastAsia="仿宋_GB2312"/>
          <w:color w:val="000000"/>
          <w:spacing w:val="20"/>
          <w:sz w:val="32"/>
          <w:szCs w:val="32"/>
        </w:rPr>
        <w:t>白血病</w:t>
      </w:r>
      <w:r>
        <w:rPr>
          <w:rFonts w:hint="eastAsia" w:ascii="仿宋_GB2312" w:eastAsia="仿宋_GB2312"/>
          <w:color w:val="000000"/>
          <w:spacing w:val="20"/>
          <w:sz w:val="32"/>
          <w:szCs w:val="32"/>
        </w:rPr>
        <w:t>、骨髓增生异常综合征。</w:t>
      </w:r>
    </w:p>
    <w:p>
      <w:pPr>
        <w:spacing w:line="360" w:lineRule="auto"/>
        <w:ind w:firstLine="720" w:firstLineChars="200"/>
        <w:rPr>
          <w:rFonts w:ascii="仿宋_GB2312" w:eastAsia="仿宋_GB2312"/>
          <w:sz w:val="32"/>
          <w:szCs w:val="32"/>
        </w:rPr>
      </w:pPr>
      <w:r>
        <w:rPr>
          <w:rFonts w:hint="eastAsia" w:ascii="仿宋_GB2312" w:eastAsia="仿宋_GB2312"/>
          <w:color w:val="000000"/>
          <w:spacing w:val="20"/>
          <w:sz w:val="32"/>
          <w:szCs w:val="32"/>
        </w:rPr>
        <w:t>4.</w:t>
      </w:r>
      <w:r>
        <w:rPr>
          <w:rFonts w:hint="eastAsia" w:ascii="仿宋_GB2312" w:hAnsi="Calibri" w:eastAsia="仿宋_GB2312"/>
          <w:color w:val="000000"/>
          <w:spacing w:val="20"/>
          <w:sz w:val="32"/>
          <w:szCs w:val="32"/>
        </w:rPr>
        <w:t>恶性组织细胞病</w:t>
      </w:r>
      <w:r>
        <w:rPr>
          <w:rFonts w:hint="eastAsia" w:ascii="仿宋_GB2312" w:eastAsia="仿宋_GB2312"/>
          <w:color w:val="000000"/>
          <w:spacing w:val="20"/>
          <w:sz w:val="32"/>
          <w:szCs w:val="32"/>
        </w:rPr>
        <w:t>、嗜血细胞综合征。</w:t>
      </w:r>
    </w:p>
    <w:p>
      <w:pPr>
        <w:spacing w:line="360" w:lineRule="auto"/>
        <w:ind w:firstLine="720" w:firstLineChars="200"/>
        <w:rPr>
          <w:rFonts w:ascii="仿宋_GB2312" w:hAnsi="Calibri" w:eastAsia="仿宋_GB2312"/>
          <w:color w:val="000000"/>
          <w:spacing w:val="20"/>
          <w:sz w:val="32"/>
          <w:szCs w:val="32"/>
        </w:rPr>
      </w:pPr>
      <w:r>
        <w:rPr>
          <w:rFonts w:hint="eastAsia" w:ascii="仿宋_GB2312" w:eastAsia="仿宋_GB2312"/>
          <w:color w:val="000000"/>
          <w:spacing w:val="20"/>
          <w:sz w:val="32"/>
          <w:szCs w:val="32"/>
        </w:rPr>
        <w:t>5.淋巴瘤、多发性骨髓瘤</w:t>
      </w:r>
      <w:r>
        <w:rPr>
          <w:rFonts w:hint="eastAsia" w:ascii="仿宋_GB2312" w:hAnsi="Calibri" w:eastAsia="仿宋_GB2312"/>
          <w:color w:val="000000"/>
          <w:spacing w:val="20"/>
          <w:sz w:val="32"/>
          <w:szCs w:val="32"/>
        </w:rPr>
        <w:t>。</w:t>
      </w:r>
    </w:p>
    <w:p>
      <w:pPr>
        <w:spacing w:line="360" w:lineRule="auto"/>
        <w:ind w:firstLine="720" w:firstLineChars="200"/>
        <w:rPr>
          <w:rFonts w:ascii="仿宋_GB2312" w:eastAsia="仿宋_GB2312"/>
          <w:color w:val="000000"/>
          <w:spacing w:val="20"/>
          <w:sz w:val="32"/>
          <w:szCs w:val="32"/>
        </w:rPr>
      </w:pPr>
      <w:r>
        <w:rPr>
          <w:rFonts w:ascii="仿宋_GB2312" w:hAnsi="Calibri" w:eastAsia="仿宋_GB2312"/>
          <w:color w:val="000000"/>
          <w:spacing w:val="20"/>
          <w:sz w:val="32"/>
          <w:szCs w:val="32"/>
        </w:rPr>
        <w:t>6.</w:t>
      </w:r>
      <w:r>
        <w:rPr>
          <w:rFonts w:hint="eastAsia" w:ascii="仿宋_GB2312" w:eastAsia="仿宋_GB2312"/>
          <w:color w:val="000000"/>
          <w:spacing w:val="20"/>
          <w:sz w:val="32"/>
          <w:szCs w:val="32"/>
        </w:rPr>
        <w:t>严重出血性疾病，有重要器官、体腔出血的，如原发性血小板减少性紫癜、血友病等，经规范治疗未见好转。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十、严重脏器损伤和术后并发症，遗有严重功能障碍，经规范治疗未见好转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1.脑、脊髓损伤治疗后遗有中度以上智能障碍，截瘫或偏瘫，大小便失禁，功能难以恢复。</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2.胸、腹腔重要脏器及气管损伤或手术后，遗有严重功能障碍，胸腹腔内慢性感染、重度粘连性梗阻，肠瘘、胰瘘、胆瘘、肛瘘等内外瘘形成反复发作；严重循环或呼吸功能障碍，如外伤性湿肺不易控制。</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3.肺、肾、肾上腺等器官一侧切除，对侧仍有病变或有明显功能障碍。</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十一、各种严重骨、关节疾病及损伤</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双上肢，双下肢，一侧上肢和一侧下肢因伤、病在腕或踝关节以上截肢或失去功能不能恢复。双手完全失去功能或伤、病致手指缺损6个以上，且6个缺损的手指中有半数以上在掌指关节处离断，且必须包括两个拇指缺失。</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2.脊柱并一个主要关节或两个以上主要关节(肩、膝、髋、肘)因伤、病发生强直畸形，经规范治疗未见好转，脊柱伸屈功能完全丧失。</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3.严重骨盆骨折合并尿道损伤，经治疗后遗有运动功能障碍或遗有尿道狭窄、闭塞或感染，经规范治疗未见好转。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4.主要长骨的慢性化脓性骨髓炎，反复急性发作，病灶内出现大块死骨或合并病理性骨折，经规范治疗未见好转。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十二、五官伤、病后，出现严重的功能障碍，经规范治疗未见好转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1.伤、病后</w:t>
      </w:r>
      <w:r>
        <w:rPr>
          <w:rFonts w:hint="eastAsia" w:ascii="仿宋_GB2312" w:eastAsia="仿宋_GB2312"/>
          <w:spacing w:val="20"/>
          <w:sz w:val="32"/>
          <w:szCs w:val="32"/>
        </w:rPr>
        <w:t>双眼</w:t>
      </w:r>
      <w:r>
        <w:rPr>
          <w:rFonts w:hint="eastAsia" w:ascii="仿宋_GB2312" w:eastAsia="仿宋_GB2312"/>
          <w:color w:val="000000"/>
          <w:spacing w:val="20"/>
          <w:sz w:val="32"/>
          <w:szCs w:val="32"/>
        </w:rPr>
        <w:t>矫正视力＜0.1，经影像检查证实患有白内障、眼外伤、视网膜剥离等需要手术治疗。内耳伤、病所致的严重前庭功能障碍、平衡失调，经规范治疗未见好转。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2.咽、喉损伤后遗有严重疤痕挛缩，造成呼吸道梗阻受阻，严重影响呼吸功能和吞咽功能。</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3.上下颌伤、病经治疗后二度张口困难、严重咀嚼功能障碍。</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十三、周围血管病经规范治疗未见好转，患肢有严重肌肉萎缩或干、湿性坏疽，如进展性脉管炎，高位深静脉栓塞等。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十四、非临床治愈期</w:t>
      </w:r>
      <w:r>
        <w:rPr>
          <w:rFonts w:hint="eastAsia" w:ascii="仿宋_GB2312" w:eastAsia="仿宋_GB2312"/>
          <w:spacing w:val="20"/>
          <w:sz w:val="32"/>
          <w:szCs w:val="32"/>
        </w:rPr>
        <w:t>的各种恶性肿瘤</w:t>
      </w:r>
      <w:r>
        <w:rPr>
          <w:rFonts w:hint="eastAsia" w:ascii="仿宋_GB2312" w:eastAsia="仿宋_GB2312"/>
          <w:color w:val="000000"/>
          <w:spacing w:val="20"/>
          <w:sz w:val="32"/>
          <w:szCs w:val="32"/>
        </w:rPr>
        <w:t>。</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十五、暂时难以确定性质的肿瘤，有下列情形之一的：</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1.严重影响机体功能而不能进行彻底治疗。</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2.身体状况进行性恶化。</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3.有严重后遗症，如偏瘫、截瘫、胃瘘、支气管食管瘘等。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十六、结缔组织疾病及其他风湿性疾病造成两个以上脏器严重功能障碍或单个脏器功能障碍失代偿，经规范治疗未见好转，如系统性红斑狼疮、硬皮病、皮肌炎、结节性多动脉炎等。</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十七、寄生虫侵犯脑、肝、肺等重要器官或组织，造成继发性损害，伴有严重功能障碍者，经规范治疗未见好转。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十八、经职业病诊断机构确诊的以下职业病：</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1.尘肺病伴严重呼吸功能障碍，经规范治疗未见好转。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2.职业中毒，伴有重要脏器功能障碍，经规范治疗未见好转。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3.其他职业病并有瘫痪、中度智能障碍、</w:t>
      </w:r>
      <w:r>
        <w:rPr>
          <w:rFonts w:hint="eastAsia" w:ascii="仿宋_GB2312" w:eastAsia="仿宋_GB2312"/>
          <w:spacing w:val="20"/>
          <w:sz w:val="32"/>
          <w:szCs w:val="32"/>
        </w:rPr>
        <w:t>双眼</w:t>
      </w:r>
      <w:r>
        <w:rPr>
          <w:rFonts w:hint="eastAsia" w:ascii="仿宋_GB2312" w:eastAsia="仿宋_GB2312"/>
          <w:color w:val="000000"/>
          <w:spacing w:val="20"/>
          <w:sz w:val="32"/>
          <w:szCs w:val="32"/>
        </w:rPr>
        <w:t>矫正视力＜0.1、严重血液系统疾病、严重精神障碍等其中一项，经规范治疗未见好转。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十九、年龄在六十五周岁以上同时患有两种以上严重疾病，其中一种病情必须接近上述一项或几项疾病程度。</w:t>
      </w:r>
    </w:p>
    <w:p>
      <w:pPr>
        <w:adjustRightInd w:val="0"/>
        <w:snapToGrid w:val="0"/>
        <w:spacing w:line="360" w:lineRule="auto"/>
        <w:ind w:firstLine="720" w:firstLineChars="200"/>
        <w:rPr>
          <w:rFonts w:ascii="仿宋_GB2312" w:eastAsia="仿宋_GB2312"/>
          <w:color w:val="000000"/>
          <w:spacing w:val="20"/>
          <w:sz w:val="32"/>
          <w:szCs w:val="32"/>
        </w:rPr>
      </w:pPr>
      <w:r>
        <w:rPr>
          <w:rFonts w:ascii="仿宋_GB2312" w:eastAsia="仿宋_GB2312"/>
          <w:color w:val="000000"/>
          <w:spacing w:val="20"/>
          <w:sz w:val="32"/>
          <w:szCs w:val="32"/>
        </w:rPr>
        <w:br w:type="page"/>
      </w:r>
      <w:r>
        <w:rPr>
          <w:rFonts w:hint="eastAsia" w:ascii="仿宋_GB2312" w:eastAsia="仿宋_GB2312"/>
          <w:b/>
          <w:color w:val="000000"/>
          <w:spacing w:val="20"/>
          <w:sz w:val="32"/>
          <w:szCs w:val="32"/>
        </w:rPr>
        <w:t>注释：</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1.本范围所列严重疾病诊断标准应符合省级以上卫生行政部门、中华医学会制定并下发的医学诊疗常规、诊断标准、规范和指南。</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2.凡是确定诊断和确定脏器、肢体功能障碍必须具有诊疗常规所明确规定的相应临床症状、体征和客观医技检查依据。</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3.本范围所称“经规范治疗未见好转”，是指临床上经常规治疗至少半年后病情恶化或未见好转。</w:t>
      </w:r>
    </w:p>
    <w:p>
      <w:pPr>
        <w:adjustRightInd w:val="0"/>
        <w:snapToGrid w:val="0"/>
        <w:spacing w:line="360" w:lineRule="auto"/>
        <w:ind w:firstLine="72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4.本范围所称“反复发作”，是指发作间隔时间小于一个月，且至少发作三次及以上。</w:t>
      </w:r>
    </w:p>
    <w:p>
      <w:pPr>
        <w:adjustRightInd w:val="0"/>
        <w:snapToGrid w:val="0"/>
        <w:spacing w:line="360" w:lineRule="auto"/>
        <w:ind w:firstLine="640" w:firstLineChars="20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5.</w:t>
      </w:r>
      <w:r>
        <w:rPr>
          <w:rFonts w:hint="eastAsia"/>
        </w:rPr>
        <w:t xml:space="preserve"> </w:t>
      </w:r>
      <w:r>
        <w:rPr>
          <w:rFonts w:hint="eastAsia" w:ascii="仿宋_GB2312" w:eastAsia="仿宋_GB2312"/>
          <w:color w:val="000000"/>
          <w:spacing w:val="20"/>
          <w:sz w:val="32"/>
          <w:szCs w:val="32"/>
        </w:rPr>
        <w:t>本范围所称“</w:t>
      </w:r>
      <w:r>
        <w:rPr>
          <w:rFonts w:hint="eastAsia" w:ascii="仿宋_GB2312" w:eastAsia="仿宋_GB2312"/>
          <w:snapToGrid w:val="0"/>
          <w:color w:val="000000"/>
          <w:kern w:val="0"/>
          <w:sz w:val="32"/>
          <w:szCs w:val="32"/>
        </w:rPr>
        <w:t>严重心律失常</w:t>
      </w:r>
      <w:r>
        <w:rPr>
          <w:rFonts w:hint="eastAsia" w:ascii="仿宋_GB2312" w:eastAsia="仿宋_GB2312"/>
          <w:color w:val="000000"/>
          <w:spacing w:val="20"/>
          <w:sz w:val="32"/>
          <w:szCs w:val="32"/>
        </w:rPr>
        <w:t>”，</w:t>
      </w:r>
      <w:r>
        <w:rPr>
          <w:rFonts w:hint="eastAsia" w:ascii="仿宋_GB2312" w:eastAsia="仿宋_GB2312"/>
          <w:snapToGrid w:val="0"/>
          <w:color w:val="000000"/>
          <w:kern w:val="0"/>
          <w:sz w:val="32"/>
          <w:szCs w:val="32"/>
        </w:rPr>
        <w:t>是指临床上可引起严重血流动力学障碍，预示危及生命的心律失常。一般出现成对室性期前收缩、多形性室性期前收缩、阵发性室性心动过速、室性期前收缩有R on T现象、病态窦房结综合征、心室扑动或心室颤动等。</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snapToGrid w:val="0"/>
          <w:color w:val="000000"/>
          <w:kern w:val="0"/>
          <w:sz w:val="32"/>
          <w:szCs w:val="32"/>
        </w:rPr>
        <w:t>6.本范围所称“意识障碍”，是指各种原因导致的迁延性昏迷1个月以上和植物人状态。</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color w:val="000000"/>
          <w:sz w:val="32"/>
          <w:szCs w:val="32"/>
        </w:rPr>
        <w:t>7.</w:t>
      </w:r>
      <w:r>
        <w:rPr>
          <w:rFonts w:hint="eastAsia" w:ascii="仿宋_GB2312" w:eastAsia="仿宋_GB2312"/>
          <w:snapToGrid w:val="0"/>
          <w:color w:val="000000"/>
          <w:kern w:val="0"/>
          <w:sz w:val="32"/>
          <w:szCs w:val="32"/>
        </w:rPr>
        <w:t>本范围所称“视力障碍”，是指各种原因导致的</w:t>
      </w:r>
      <w:r>
        <w:rPr>
          <w:rFonts w:hint="eastAsia" w:ascii="仿宋_GB2312" w:eastAsia="仿宋_GB2312"/>
          <w:sz w:val="32"/>
          <w:szCs w:val="32"/>
        </w:rPr>
        <w:t>患</w:t>
      </w:r>
      <w:r>
        <w:rPr>
          <w:rFonts w:hint="eastAsia" w:ascii="仿宋_GB2312" w:eastAsia="仿宋_GB2312"/>
          <w:snapToGrid w:val="0"/>
          <w:color w:val="000000"/>
          <w:kern w:val="0"/>
          <w:sz w:val="32"/>
          <w:szCs w:val="32"/>
        </w:rPr>
        <w:t>眼低视力2级。</w:t>
      </w:r>
    </w:p>
    <w:p>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8．艾滋病和艾滋病机会性感染诊断依据应符合《艾滋病和艾滋病病毒感染诊断标准》（WS293--2008）、《艾滋病诊疗指南》（中华医学会感染病分会，2011年）等技术规范。其中，艾滋病合并肺孢子菌肺炎、活动性结核病、巨细胞病毒视网膜炎、马尼菲青霉菌病、细菌性肺炎、新型隐球菌脑膜炎等六种艾滋病机会性感染的住院标准应符合《卫生部办公厅关于印发艾滋病合并肺孢子菌肺炎等六个艾滋病机会感染病种临床路径的通知》（卫办医政发[2012]107号）。上述六种以外的艾滋病机会性感染住院标准可参考《艾滋病诊疗指南》（中华医学会感染病分会，2011年）及《实用内科学》（第13版）等。</w:t>
      </w:r>
    </w:p>
    <w:p>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9．精神病的危险性按照《卫生部关于印发&lt;重性精神疾病管理治疗工作规范（2012年版）&gt;的通知》（卫疾控发[2012]20号）进行评估。</w:t>
      </w:r>
    </w:p>
    <w:p>
      <w:pPr>
        <w:adjustRightInd w:val="0"/>
        <w:snapToGrid w:val="0"/>
        <w:spacing w:line="360" w:lineRule="auto"/>
        <w:ind w:firstLine="640" w:firstLineChars="200"/>
        <w:rPr>
          <w:rFonts w:ascii="仿宋_GB2312" w:eastAsia="仿宋_GB2312"/>
          <w:color w:val="000000"/>
          <w:spacing w:val="20"/>
          <w:sz w:val="32"/>
          <w:szCs w:val="32"/>
        </w:rPr>
      </w:pPr>
      <w:r>
        <w:rPr>
          <w:rFonts w:hint="eastAsia" w:ascii="仿宋_GB2312" w:eastAsia="仿宋_GB2312"/>
          <w:color w:val="000000"/>
          <w:sz w:val="32"/>
          <w:szCs w:val="32"/>
        </w:rPr>
        <w:t>10．心功能判定：心功能不全，表现出心悸、心律失常、低血压、休克，甚至发生心搏骤停。按发生部位和发病过程分为左侧心功能不全（急性、慢性）、右侧心功能不全（急性、慢性）和全心功能不全（急性、慢性）。出现心功能不全症状后，其心功能可分为四级。</w:t>
      </w:r>
    </w:p>
    <w:p>
      <w:pPr>
        <w:adjustRightInd w:val="0"/>
        <w:snapToGrid w:val="0"/>
        <w:spacing w:line="360" w:lineRule="auto"/>
        <w:ind w:firstLine="560" w:firstLineChars="20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Ⅰ级：体力活动不受限制。</w:t>
      </w:r>
    </w:p>
    <w:p>
      <w:pPr>
        <w:adjustRightInd w:val="0"/>
        <w:snapToGrid w:val="0"/>
        <w:spacing w:line="360" w:lineRule="auto"/>
        <w:ind w:firstLine="560" w:firstLineChars="20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Ⅱ级：静息时无不适，但稍重于日常生活活动量即致乏力、心悸、气促或者心绞痛。</w:t>
      </w:r>
    </w:p>
    <w:p>
      <w:pPr>
        <w:adjustRightInd w:val="0"/>
        <w:snapToGrid w:val="0"/>
        <w:spacing w:line="360" w:lineRule="auto"/>
        <w:ind w:firstLine="560" w:firstLineChars="20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Ⅲ级：体力活动明显受限，静息时无不适，但低于日常活动量即致乏力、心悸、气促或心绞痛。</w:t>
      </w:r>
    </w:p>
    <w:p>
      <w:pPr>
        <w:adjustRightInd w:val="0"/>
        <w:snapToGrid w:val="0"/>
        <w:spacing w:line="360" w:lineRule="auto"/>
        <w:ind w:firstLine="560" w:firstLineChars="200"/>
        <w:outlineLvl w:val="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Ⅳ级：任何体力活动均引起症状，静息时亦可有心力衰竭或者心绞痛。</w:t>
      </w:r>
    </w:p>
    <w:p>
      <w:pPr>
        <w:adjustRightInd w:val="0"/>
        <w:snapToGrid w:val="0"/>
        <w:spacing w:line="360" w:lineRule="auto"/>
        <w:ind w:firstLine="707" w:firstLineChars="221"/>
        <w:rPr>
          <w:rFonts w:ascii="仿宋_GB2312" w:hAnsi="Courier New" w:eastAsia="仿宋_GB2312" w:cs="Courier New"/>
          <w:color w:val="000000"/>
          <w:sz w:val="32"/>
          <w:szCs w:val="32"/>
        </w:rPr>
      </w:pPr>
      <w:r>
        <w:rPr>
          <w:rFonts w:hint="eastAsia" w:ascii="仿宋_GB2312" w:hAnsi="Tahoma" w:eastAsia="仿宋_GB2312"/>
          <w:color w:val="000000"/>
          <w:sz w:val="32"/>
          <w:szCs w:val="32"/>
        </w:rPr>
        <w:t>11</w:t>
      </w:r>
      <w:r>
        <w:rPr>
          <w:rFonts w:hint="eastAsia" w:ascii="仿宋_GB2312" w:hAnsi="Courier New" w:eastAsia="仿宋_GB2312" w:cs="Courier New"/>
          <w:color w:val="000000"/>
          <w:sz w:val="32"/>
          <w:szCs w:val="32"/>
        </w:rPr>
        <w:t>.高血压判定:</w:t>
      </w:r>
      <w:r>
        <w:rPr>
          <w:rFonts w:hint="eastAsia"/>
        </w:rPr>
        <w:t xml:space="preserve"> </w:t>
      </w:r>
      <w:r>
        <w:rPr>
          <w:rFonts w:hint="eastAsia" w:ascii="仿宋_GB2312" w:hAnsi="Courier New" w:eastAsia="仿宋_GB2312" w:cs="Courier New"/>
          <w:color w:val="000000"/>
          <w:sz w:val="32"/>
          <w:szCs w:val="32"/>
        </w:rPr>
        <w:t>按照《中国高血压防治指南2010》执行。</w:t>
      </w:r>
    </w:p>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血压水平分类和定义（mmHg）</w:t>
      </w:r>
    </w:p>
    <w:tbl>
      <w:tblPr>
        <w:tblStyle w:val="3"/>
        <w:tblW w:w="8207"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6"/>
        <w:gridCol w:w="794"/>
        <w:gridCol w:w="2132"/>
        <w:gridCol w:w="80"/>
        <w:gridCol w:w="2795"/>
        <w:gridCol w:w="22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 w:type="dxa"/>
          <w:trHeight w:val="397" w:hRule="atLeast"/>
          <w:jc w:val="center"/>
        </w:trPr>
        <w:tc>
          <w:tcPr>
            <w:tcW w:w="2186" w:type="dxa"/>
            <w:tcBorders>
              <w:bottom w:val="single" w:color="008000" w:sz="6" w:space="0"/>
            </w:tcBorders>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分级</w:t>
            </w:r>
          </w:p>
        </w:tc>
        <w:tc>
          <w:tcPr>
            <w:tcW w:w="3006" w:type="dxa"/>
            <w:gridSpan w:val="3"/>
            <w:tcBorders>
              <w:bottom w:val="single" w:color="008000" w:sz="6" w:space="0"/>
            </w:tcBorders>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收缩压（SBP）</w:t>
            </w:r>
          </w:p>
        </w:tc>
        <w:tc>
          <w:tcPr>
            <w:tcW w:w="2795" w:type="dxa"/>
            <w:tcBorders>
              <w:bottom w:val="single" w:color="008000" w:sz="6" w:space="0"/>
            </w:tcBorders>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舒张压（DBP）</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80" w:type="dxa"/>
            <w:gridSpan w:val="2"/>
            <w:tcBorders>
              <w:top w:val="single" w:color="008000" w:sz="6" w:space="0"/>
            </w:tcBorders>
            <w:vAlign w:val="center"/>
          </w:tcPr>
          <w:p>
            <w:pPr>
              <w:spacing w:line="500" w:lineRule="exact"/>
              <w:ind w:left="-48" w:firstLine="132" w:firstLineChars="55"/>
              <w:rPr>
                <w:rFonts w:asciiTheme="minorEastAsia" w:hAnsiTheme="minorEastAsia" w:eastAsiaTheme="minorEastAsia"/>
                <w:color w:val="000000"/>
                <w:sz w:val="24"/>
              </w:rPr>
            </w:pPr>
            <w:r>
              <w:rPr>
                <w:rFonts w:hint="eastAsia" w:asciiTheme="minorEastAsia" w:hAnsiTheme="minorEastAsia" w:eastAsiaTheme="minorEastAsia"/>
                <w:color w:val="000000"/>
                <w:sz w:val="24"/>
              </w:rPr>
              <w:t>正常血压</w:t>
            </w:r>
          </w:p>
        </w:tc>
        <w:tc>
          <w:tcPr>
            <w:tcW w:w="2132" w:type="dxa"/>
            <w:tcBorders>
              <w:top w:val="single" w:color="008000" w:sz="6" w:space="0"/>
            </w:tcBorders>
            <w:vAlign w:val="center"/>
          </w:tcPr>
          <w:p>
            <w:pPr>
              <w:tabs>
                <w:tab w:val="left" w:pos="1348"/>
              </w:tabs>
              <w:spacing w:line="500" w:lineRule="exact"/>
              <w:ind w:firstLine="720" w:firstLineChars="300"/>
              <w:rPr>
                <w:rFonts w:asciiTheme="minorEastAsia" w:hAnsiTheme="minorEastAsia" w:eastAsiaTheme="minorEastAsia"/>
                <w:color w:val="000000"/>
                <w:sz w:val="24"/>
              </w:rPr>
            </w:pPr>
            <w:r>
              <w:rPr>
                <w:rFonts w:hint="eastAsia" w:asciiTheme="minorEastAsia" w:hAnsiTheme="minorEastAsia" w:eastAsiaTheme="minorEastAsia"/>
                <w:color w:val="000000"/>
                <w:sz w:val="24"/>
              </w:rPr>
              <w:t>＜120</w:t>
            </w:r>
          </w:p>
        </w:tc>
        <w:tc>
          <w:tcPr>
            <w:tcW w:w="3095" w:type="dxa"/>
            <w:gridSpan w:val="3"/>
            <w:tcBorders>
              <w:top w:val="single" w:color="008000" w:sz="6" w:space="0"/>
            </w:tcBorders>
            <w:vAlign w:val="center"/>
          </w:tcPr>
          <w:p>
            <w:pPr>
              <w:spacing w:line="500" w:lineRule="exact"/>
              <w:ind w:right="480" w:firstLine="120" w:firstLineChars="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和        ＜80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80" w:type="dxa"/>
            <w:gridSpan w:val="2"/>
            <w:vAlign w:val="center"/>
          </w:tcPr>
          <w:p>
            <w:pPr>
              <w:spacing w:line="500" w:lineRule="exact"/>
              <w:ind w:left="128"/>
              <w:rPr>
                <w:rFonts w:asciiTheme="minorEastAsia" w:hAnsiTheme="minorEastAsia" w:eastAsiaTheme="minorEastAsia"/>
                <w:color w:val="000000"/>
                <w:sz w:val="24"/>
              </w:rPr>
            </w:pPr>
            <w:r>
              <w:rPr>
                <w:rFonts w:hint="eastAsia" w:asciiTheme="minorEastAsia" w:hAnsiTheme="minorEastAsia" w:eastAsiaTheme="minorEastAsia"/>
                <w:color w:val="000000"/>
                <w:sz w:val="24"/>
              </w:rPr>
              <w:t>正常高值血压</w:t>
            </w:r>
          </w:p>
        </w:tc>
        <w:tc>
          <w:tcPr>
            <w:tcW w:w="2132" w:type="dxa"/>
            <w:vAlign w:val="center"/>
          </w:tcPr>
          <w:p>
            <w:pPr>
              <w:tabs>
                <w:tab w:val="left" w:pos="2317"/>
              </w:tabs>
              <w:spacing w:line="500" w:lineRule="exact"/>
              <w:ind w:firstLine="240" w:firstLineChars="100"/>
              <w:rPr>
                <w:rFonts w:asciiTheme="minorEastAsia" w:hAnsiTheme="minorEastAsia" w:eastAsiaTheme="minorEastAsia"/>
                <w:color w:val="000000"/>
                <w:sz w:val="24"/>
              </w:rPr>
            </w:pPr>
            <w:r>
              <w:rPr>
                <w:rFonts w:hint="eastAsia" w:asciiTheme="minorEastAsia" w:hAnsiTheme="minorEastAsia" w:eastAsiaTheme="minorEastAsia"/>
                <w:color w:val="000000"/>
                <w:sz w:val="24"/>
              </w:rPr>
              <w:t>120 ～139</w:t>
            </w:r>
          </w:p>
        </w:tc>
        <w:tc>
          <w:tcPr>
            <w:tcW w:w="3095" w:type="dxa"/>
            <w:gridSpan w:val="3"/>
            <w:vAlign w:val="center"/>
          </w:tcPr>
          <w:p>
            <w:pPr>
              <w:spacing w:line="5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和/或  80  ～89</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80" w:type="dxa"/>
            <w:gridSpan w:val="2"/>
            <w:vAlign w:val="center"/>
          </w:tcPr>
          <w:p>
            <w:pPr>
              <w:spacing w:line="500" w:lineRule="exact"/>
              <w:ind w:left="128"/>
              <w:rPr>
                <w:rFonts w:asciiTheme="minorEastAsia" w:hAnsiTheme="minorEastAsia" w:eastAsiaTheme="minorEastAsia"/>
                <w:color w:val="000000"/>
                <w:sz w:val="24"/>
              </w:rPr>
            </w:pPr>
            <w:r>
              <w:rPr>
                <w:rFonts w:hint="eastAsia" w:asciiTheme="minorEastAsia" w:hAnsiTheme="minorEastAsia" w:eastAsiaTheme="minorEastAsia"/>
                <w:color w:val="000000"/>
                <w:sz w:val="24"/>
              </w:rPr>
              <w:t>高血压1级（轻度）</w:t>
            </w:r>
          </w:p>
        </w:tc>
        <w:tc>
          <w:tcPr>
            <w:tcW w:w="2132" w:type="dxa"/>
            <w:vAlign w:val="center"/>
          </w:tcPr>
          <w:p>
            <w:pPr>
              <w:spacing w:line="500" w:lineRule="exact"/>
              <w:ind w:firstLine="240" w:firstLineChars="100"/>
              <w:rPr>
                <w:rFonts w:asciiTheme="minorEastAsia" w:hAnsiTheme="minorEastAsia" w:eastAsiaTheme="minorEastAsia"/>
                <w:color w:val="000000"/>
                <w:sz w:val="24"/>
              </w:rPr>
            </w:pPr>
            <w:r>
              <w:rPr>
                <w:rFonts w:hint="eastAsia" w:asciiTheme="minorEastAsia" w:hAnsiTheme="minorEastAsia" w:eastAsiaTheme="minorEastAsia"/>
                <w:color w:val="000000"/>
                <w:sz w:val="24"/>
              </w:rPr>
              <w:t>140 ～159</w:t>
            </w:r>
          </w:p>
        </w:tc>
        <w:tc>
          <w:tcPr>
            <w:tcW w:w="3095" w:type="dxa"/>
            <w:gridSpan w:val="3"/>
            <w:vAlign w:val="center"/>
          </w:tcPr>
          <w:p>
            <w:pPr>
              <w:spacing w:line="5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和/或  90  ～99</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80" w:type="dxa"/>
            <w:gridSpan w:val="2"/>
            <w:vAlign w:val="center"/>
          </w:tcPr>
          <w:p>
            <w:pPr>
              <w:spacing w:line="500" w:lineRule="exact"/>
              <w:ind w:left="128"/>
              <w:rPr>
                <w:rFonts w:asciiTheme="minorEastAsia" w:hAnsiTheme="minorEastAsia" w:eastAsiaTheme="minorEastAsia"/>
                <w:color w:val="000000"/>
                <w:sz w:val="24"/>
              </w:rPr>
            </w:pPr>
            <w:r>
              <w:rPr>
                <w:rFonts w:hint="eastAsia" w:asciiTheme="minorEastAsia" w:hAnsiTheme="minorEastAsia" w:eastAsiaTheme="minorEastAsia"/>
                <w:color w:val="000000"/>
                <w:sz w:val="24"/>
              </w:rPr>
              <w:t>高血压2级（中度）</w:t>
            </w:r>
          </w:p>
        </w:tc>
        <w:tc>
          <w:tcPr>
            <w:tcW w:w="2132" w:type="dxa"/>
            <w:vAlign w:val="center"/>
          </w:tcPr>
          <w:p>
            <w:pPr>
              <w:spacing w:line="500" w:lineRule="exact"/>
              <w:ind w:firstLine="240" w:firstLineChars="100"/>
              <w:rPr>
                <w:rFonts w:asciiTheme="minorEastAsia" w:hAnsiTheme="minorEastAsia" w:eastAsiaTheme="minorEastAsia"/>
                <w:color w:val="000000"/>
                <w:sz w:val="24"/>
              </w:rPr>
            </w:pPr>
            <w:r>
              <w:rPr>
                <w:rFonts w:hint="eastAsia" w:asciiTheme="minorEastAsia" w:hAnsiTheme="minorEastAsia" w:eastAsiaTheme="minorEastAsia"/>
                <w:color w:val="000000"/>
                <w:sz w:val="24"/>
              </w:rPr>
              <w:t>160 ～179</w:t>
            </w:r>
          </w:p>
        </w:tc>
        <w:tc>
          <w:tcPr>
            <w:tcW w:w="3095" w:type="dxa"/>
            <w:gridSpan w:val="3"/>
            <w:vAlign w:val="center"/>
          </w:tcPr>
          <w:p>
            <w:pPr>
              <w:spacing w:line="5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和/或  100 ～109</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80" w:type="dxa"/>
            <w:gridSpan w:val="2"/>
            <w:vAlign w:val="center"/>
          </w:tcPr>
          <w:p>
            <w:pPr>
              <w:spacing w:line="500" w:lineRule="exact"/>
              <w:ind w:left="128"/>
              <w:rPr>
                <w:rFonts w:asciiTheme="minorEastAsia" w:hAnsiTheme="minorEastAsia" w:eastAsiaTheme="minorEastAsia"/>
                <w:color w:val="000000"/>
                <w:sz w:val="24"/>
              </w:rPr>
            </w:pPr>
            <w:r>
              <w:rPr>
                <w:rFonts w:hint="eastAsia" w:asciiTheme="minorEastAsia" w:hAnsiTheme="minorEastAsia" w:eastAsiaTheme="minorEastAsia"/>
                <w:color w:val="000000"/>
                <w:sz w:val="24"/>
              </w:rPr>
              <w:t>高血压3级（重度）</w:t>
            </w:r>
          </w:p>
        </w:tc>
        <w:tc>
          <w:tcPr>
            <w:tcW w:w="2132" w:type="dxa"/>
            <w:vAlign w:val="center"/>
          </w:tcPr>
          <w:p>
            <w:pPr>
              <w:spacing w:line="500" w:lineRule="exact"/>
              <w:ind w:firstLine="720" w:firstLineChars="300"/>
              <w:rPr>
                <w:rFonts w:asciiTheme="minorEastAsia" w:hAnsiTheme="minorEastAsia" w:eastAsiaTheme="minorEastAsia"/>
                <w:color w:val="000000"/>
                <w:sz w:val="24"/>
              </w:rPr>
            </w:pPr>
            <w:r>
              <w:rPr>
                <w:rFonts w:hint="eastAsia" w:asciiTheme="minorEastAsia" w:hAnsiTheme="minorEastAsia" w:eastAsiaTheme="minorEastAsia"/>
                <w:color w:val="000000"/>
                <w:sz w:val="24"/>
              </w:rPr>
              <w:t>≥180</w:t>
            </w:r>
          </w:p>
        </w:tc>
        <w:tc>
          <w:tcPr>
            <w:tcW w:w="3095" w:type="dxa"/>
            <w:gridSpan w:val="3"/>
            <w:vAlign w:val="center"/>
          </w:tcPr>
          <w:p>
            <w:pPr>
              <w:spacing w:line="5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和/或      ≥110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80" w:type="dxa"/>
            <w:gridSpan w:val="2"/>
            <w:vAlign w:val="center"/>
          </w:tcPr>
          <w:p>
            <w:pPr>
              <w:spacing w:line="500" w:lineRule="exact"/>
              <w:ind w:left="128"/>
              <w:rPr>
                <w:rFonts w:asciiTheme="minorEastAsia" w:hAnsiTheme="minorEastAsia" w:eastAsiaTheme="minorEastAsia"/>
                <w:color w:val="000000"/>
                <w:sz w:val="24"/>
              </w:rPr>
            </w:pPr>
            <w:r>
              <w:rPr>
                <w:rFonts w:hint="eastAsia" w:asciiTheme="minorEastAsia" w:hAnsiTheme="minorEastAsia" w:eastAsiaTheme="minorEastAsia"/>
                <w:color w:val="000000"/>
                <w:sz w:val="24"/>
              </w:rPr>
              <w:t>单纯性收缩期高血压</w:t>
            </w:r>
          </w:p>
        </w:tc>
        <w:tc>
          <w:tcPr>
            <w:tcW w:w="2132" w:type="dxa"/>
            <w:vAlign w:val="center"/>
          </w:tcPr>
          <w:p>
            <w:pPr>
              <w:spacing w:line="500" w:lineRule="exact"/>
              <w:ind w:firstLine="240" w:firstLineChars="1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≥140</w:t>
            </w:r>
          </w:p>
        </w:tc>
        <w:tc>
          <w:tcPr>
            <w:tcW w:w="3095" w:type="dxa"/>
            <w:gridSpan w:val="3"/>
            <w:vAlign w:val="center"/>
          </w:tcPr>
          <w:p>
            <w:pPr>
              <w:spacing w:line="500" w:lineRule="exact"/>
              <w:ind w:firstLine="120" w:firstLineChars="50"/>
              <w:rPr>
                <w:rFonts w:asciiTheme="minorEastAsia" w:hAnsiTheme="minorEastAsia" w:eastAsiaTheme="minorEastAsia"/>
                <w:color w:val="000000"/>
                <w:sz w:val="24"/>
              </w:rPr>
            </w:pPr>
            <w:r>
              <w:rPr>
                <w:rFonts w:hint="eastAsia" w:asciiTheme="minorEastAsia" w:hAnsiTheme="minorEastAsia" w:eastAsiaTheme="minorEastAsia"/>
                <w:color w:val="000000"/>
                <w:sz w:val="24"/>
              </w:rPr>
              <w:t>和        ＜90</w:t>
            </w:r>
          </w:p>
        </w:tc>
      </w:tr>
    </w:tbl>
    <w:p>
      <w:pPr>
        <w:spacing w:before="156" w:beforeLines="50"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高血压危险分层</w:t>
      </w:r>
    </w:p>
    <w:tbl>
      <w:tblPr>
        <w:tblStyle w:val="3"/>
        <w:tblW w:w="8772"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4"/>
        <w:gridCol w:w="2028"/>
        <w:gridCol w:w="2193"/>
        <w:gridCol w:w="1747"/>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2804" w:type="dxa"/>
            <w:vMerge w:val="restart"/>
            <w:tcBorders>
              <w:top w:val="single" w:color="008000" w:sz="12" w:space="0"/>
              <w:bottom w:val="single" w:color="008000" w:sz="6" w:space="0"/>
            </w:tcBorders>
            <w:vAlign w:val="center"/>
          </w:tcPr>
          <w:p>
            <w:pPr>
              <w:spacing w:line="6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其他危险因素和病史</w:t>
            </w:r>
          </w:p>
        </w:tc>
        <w:tc>
          <w:tcPr>
            <w:tcW w:w="5968" w:type="dxa"/>
            <w:gridSpan w:val="3"/>
            <w:tcBorders>
              <w:top w:val="single" w:color="008000" w:sz="12" w:space="0"/>
              <w:bottom w:val="single" w:color="008000" w:sz="6" w:space="0"/>
            </w:tcBorders>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血压（mmHg）</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2804" w:type="dxa"/>
            <w:vMerge w:val="continue"/>
            <w:tcBorders>
              <w:top w:val="single" w:color="008000" w:sz="6" w:space="0"/>
              <w:bottom w:val="single" w:color="auto" w:sz="4" w:space="0"/>
            </w:tcBorders>
          </w:tcPr>
          <w:p>
            <w:pPr>
              <w:spacing w:line="500" w:lineRule="exact"/>
              <w:jc w:val="center"/>
              <w:rPr>
                <w:rFonts w:asciiTheme="minorEastAsia" w:hAnsiTheme="minorEastAsia" w:eastAsiaTheme="minorEastAsia"/>
                <w:color w:val="000000"/>
                <w:sz w:val="24"/>
              </w:rPr>
            </w:pPr>
          </w:p>
        </w:tc>
        <w:tc>
          <w:tcPr>
            <w:tcW w:w="2028" w:type="dxa"/>
            <w:tcBorders>
              <w:top w:val="single" w:color="008000" w:sz="6" w:space="0"/>
              <w:bottom w:val="single" w:color="auto" w:sz="4" w:space="0"/>
            </w:tcBorders>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1级SBP140-159或DBP90-99</w:t>
            </w:r>
          </w:p>
        </w:tc>
        <w:tc>
          <w:tcPr>
            <w:tcW w:w="2193" w:type="dxa"/>
            <w:tcBorders>
              <w:top w:val="single" w:color="008000" w:sz="6" w:space="0"/>
              <w:bottom w:val="single" w:color="auto" w:sz="4" w:space="0"/>
            </w:tcBorders>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2级</w:t>
            </w:r>
          </w:p>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SBP160-179或DBP100-109</w:t>
            </w:r>
          </w:p>
        </w:tc>
        <w:tc>
          <w:tcPr>
            <w:tcW w:w="1747" w:type="dxa"/>
            <w:tcBorders>
              <w:top w:val="single" w:color="008000" w:sz="6" w:space="0"/>
              <w:bottom w:val="single" w:color="auto" w:sz="4" w:space="0"/>
            </w:tcBorders>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3级</w:t>
            </w:r>
          </w:p>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SBP≥180或DBP≥110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4" w:type="dxa"/>
            <w:tcBorders>
              <w:top w:val="single" w:color="auto" w:sz="4" w:space="0"/>
            </w:tcBorders>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无其他CVD危险因素</w:t>
            </w:r>
          </w:p>
        </w:tc>
        <w:tc>
          <w:tcPr>
            <w:tcW w:w="2028" w:type="dxa"/>
            <w:tcBorders>
              <w:top w:val="single" w:color="auto" w:sz="4" w:space="0"/>
            </w:tcBorders>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低危</w:t>
            </w:r>
          </w:p>
        </w:tc>
        <w:tc>
          <w:tcPr>
            <w:tcW w:w="2193" w:type="dxa"/>
            <w:tcBorders>
              <w:top w:val="single" w:color="auto" w:sz="4" w:space="0"/>
            </w:tcBorders>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中危</w:t>
            </w:r>
          </w:p>
        </w:tc>
        <w:tc>
          <w:tcPr>
            <w:tcW w:w="1747" w:type="dxa"/>
            <w:tcBorders>
              <w:top w:val="single" w:color="auto" w:sz="4" w:space="0"/>
            </w:tcBorders>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高危</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4" w:type="dxa"/>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1-2个CVD危险因素</w:t>
            </w:r>
          </w:p>
        </w:tc>
        <w:tc>
          <w:tcPr>
            <w:tcW w:w="2028" w:type="dxa"/>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中危</w:t>
            </w:r>
          </w:p>
        </w:tc>
        <w:tc>
          <w:tcPr>
            <w:tcW w:w="2193" w:type="dxa"/>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中危</w:t>
            </w:r>
          </w:p>
        </w:tc>
        <w:tc>
          <w:tcPr>
            <w:tcW w:w="1747" w:type="dxa"/>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很高危</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4" w:type="dxa"/>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≥3个CVD危险因素或靶器官损伤</w:t>
            </w:r>
          </w:p>
        </w:tc>
        <w:tc>
          <w:tcPr>
            <w:tcW w:w="2028" w:type="dxa"/>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高危</w:t>
            </w:r>
          </w:p>
        </w:tc>
        <w:tc>
          <w:tcPr>
            <w:tcW w:w="2193" w:type="dxa"/>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高危</w:t>
            </w:r>
          </w:p>
        </w:tc>
        <w:tc>
          <w:tcPr>
            <w:tcW w:w="1747" w:type="dxa"/>
            <w:vAlign w:val="center"/>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很高危</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4" w:type="dxa"/>
          </w:tcPr>
          <w:p>
            <w:pPr>
              <w:spacing w:line="5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临床并发症或合并糖尿病</w:t>
            </w:r>
          </w:p>
        </w:tc>
        <w:tc>
          <w:tcPr>
            <w:tcW w:w="2028" w:type="dxa"/>
          </w:tcPr>
          <w:p>
            <w:pPr>
              <w:spacing w:line="720" w:lineRule="auto"/>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很高危</w:t>
            </w:r>
          </w:p>
        </w:tc>
        <w:tc>
          <w:tcPr>
            <w:tcW w:w="2193" w:type="dxa"/>
          </w:tcPr>
          <w:p>
            <w:pPr>
              <w:spacing w:line="720" w:lineRule="auto"/>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很高危</w:t>
            </w:r>
          </w:p>
        </w:tc>
        <w:tc>
          <w:tcPr>
            <w:tcW w:w="1747" w:type="dxa"/>
          </w:tcPr>
          <w:p>
            <w:pPr>
              <w:spacing w:line="720" w:lineRule="auto"/>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很高危</w:t>
            </w:r>
          </w:p>
        </w:tc>
      </w:tr>
    </w:tbl>
    <w:p>
      <w:pPr>
        <w:spacing w:line="420" w:lineRule="exact"/>
        <w:ind w:firstLine="480" w:firstLineChars="200"/>
        <w:rPr>
          <w:rFonts w:asciiTheme="minorEastAsia" w:hAnsiTheme="minorEastAsia" w:eastAsiaTheme="minorEastAsia"/>
          <w:color w:val="000000"/>
          <w:spacing w:val="20"/>
          <w:sz w:val="24"/>
        </w:rPr>
      </w:pPr>
      <w:r>
        <w:rPr>
          <w:rFonts w:hint="eastAsia" w:asciiTheme="minorEastAsia" w:hAnsiTheme="minorEastAsia" w:eastAsiaTheme="minorEastAsia"/>
          <w:color w:val="000000"/>
          <w:sz w:val="24"/>
        </w:rPr>
        <w:t>注： * CVD为心血管危险因素</w:t>
      </w:r>
    </w:p>
    <w:p>
      <w:pPr>
        <w:spacing w:line="360" w:lineRule="auto"/>
        <w:rPr>
          <w:rFonts w:asciiTheme="minorEastAsia" w:hAnsiTheme="minorEastAsia" w:eastAsiaTheme="minorEastAsia"/>
          <w:color w:val="000000"/>
          <w:sz w:val="24"/>
        </w:rPr>
      </w:pPr>
    </w:p>
    <w:p>
      <w:pPr>
        <w:spacing w:line="360" w:lineRule="auto"/>
        <w:rPr>
          <w:rFonts w:asciiTheme="minorEastAsia" w:hAnsiTheme="minorEastAsia" w:eastAsiaTheme="minorEastAsia"/>
          <w:color w:val="000000"/>
          <w:sz w:val="24"/>
        </w:rPr>
      </w:pPr>
    </w:p>
    <w:p>
      <w:pPr>
        <w:spacing w:line="360" w:lineRule="auto"/>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影响高血压患者心血管预后的重要因素</w:t>
      </w:r>
    </w:p>
    <w:tbl>
      <w:tblPr>
        <w:tblStyle w:val="3"/>
        <w:tblW w:w="8505"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8"/>
        <w:gridCol w:w="2976"/>
        <w:gridCol w:w="255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Borders>
              <w:bottom w:val="single" w:color="auto" w:sz="4" w:space="0"/>
            </w:tcBorders>
            <w:shd w:val="clear" w:color="auto" w:fill="auto"/>
          </w:tcPr>
          <w:p>
            <w:pPr>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心血管危险因素</w:t>
            </w:r>
          </w:p>
        </w:tc>
        <w:tc>
          <w:tcPr>
            <w:tcW w:w="2976" w:type="dxa"/>
            <w:tcBorders>
              <w:bottom w:val="single" w:color="auto" w:sz="4" w:space="0"/>
            </w:tcBorders>
            <w:shd w:val="clear" w:color="auto" w:fill="auto"/>
          </w:tcPr>
          <w:p>
            <w:pPr>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靶器官损害</w:t>
            </w:r>
          </w:p>
        </w:tc>
        <w:tc>
          <w:tcPr>
            <w:tcW w:w="2551" w:type="dxa"/>
            <w:tcBorders>
              <w:bottom w:val="single" w:color="auto" w:sz="4" w:space="0"/>
            </w:tcBorders>
            <w:shd w:val="clear" w:color="auto" w:fill="auto"/>
          </w:tcPr>
          <w:p>
            <w:pPr>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伴临床疾患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78" w:type="dxa"/>
            <w:tcBorders>
              <w:top w:val="single" w:color="auto" w:sz="4" w:space="0"/>
              <w:bottom w:val="single" w:color="auto" w:sz="4" w:space="0"/>
            </w:tcBorders>
            <w:shd w:val="clear" w:color="auto" w:fill="auto"/>
          </w:tcPr>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·高血压（1-3级）</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cs="仿宋_GB2312" w:asciiTheme="minorEastAsia" w:hAnsiTheme="minorEastAsia" w:eastAsiaTheme="minorEastAsia"/>
                <w:color w:val="000000"/>
                <w:sz w:val="24"/>
              </w:rPr>
              <w:t>男性</w:t>
            </w:r>
            <w:r>
              <w:rPr>
                <w:rFonts w:hint="eastAsia" w:asciiTheme="minorEastAsia" w:hAnsiTheme="minorEastAsia" w:eastAsiaTheme="minorEastAsia"/>
                <w:color w:val="000000"/>
                <w:sz w:val="24"/>
              </w:rPr>
              <w:t>&gt;55岁；女性&gt;65岁</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cs="仿宋_GB2312" w:asciiTheme="minorEastAsia" w:hAnsiTheme="minorEastAsia" w:eastAsiaTheme="minorEastAsia"/>
                <w:color w:val="000000"/>
                <w:sz w:val="24"/>
              </w:rPr>
              <w:t>吸烟</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cs="仿宋_GB2312" w:asciiTheme="minorEastAsia" w:hAnsiTheme="minorEastAsia" w:eastAsiaTheme="minorEastAsia"/>
                <w:color w:val="000000"/>
                <w:sz w:val="24"/>
              </w:rPr>
              <w:t>糖耐量受损（餐后</w:t>
            </w:r>
            <w:r>
              <w:rPr>
                <w:rFonts w:hint="eastAsia" w:asciiTheme="minorEastAsia" w:hAnsiTheme="minorEastAsia" w:eastAsiaTheme="minorEastAsia"/>
                <w:color w:val="000000"/>
                <w:sz w:val="24"/>
              </w:rPr>
              <w:t>2h血糖7.8-11.0mmol/L）和（或）空腹血糖受损（6.1-6.9mmol/L）</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cs="仿宋_GB2312" w:asciiTheme="minorEastAsia" w:hAnsiTheme="minorEastAsia" w:eastAsiaTheme="minorEastAsia"/>
                <w:color w:val="000000"/>
                <w:sz w:val="24"/>
              </w:rPr>
              <w:t>血脂异常</w:t>
            </w:r>
            <w:r>
              <w:rPr>
                <w:rFonts w:hint="eastAsia" w:asciiTheme="minorEastAsia" w:hAnsiTheme="minorEastAsia" w:eastAsiaTheme="minorEastAsia"/>
                <w:color w:val="000000"/>
                <w:sz w:val="24"/>
              </w:rPr>
              <w:t>TC≥5.7mmol/L（220mg/dl）或LDL_C&gt;3.3mmol/L（130mg/dl）或HDL_C&lt;1.0mmol/L（4.mg/dl）</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cs="仿宋_GB2312" w:asciiTheme="minorEastAsia" w:hAnsiTheme="minorEastAsia" w:eastAsiaTheme="minorEastAsia"/>
                <w:color w:val="000000"/>
                <w:sz w:val="24"/>
              </w:rPr>
              <w:t>早发心血管病家族史（一般亲属发病年龄男性</w:t>
            </w:r>
            <w:r>
              <w:rPr>
                <w:rFonts w:hint="eastAsia" w:asciiTheme="minorEastAsia" w:hAnsiTheme="minorEastAsia" w:eastAsiaTheme="minorEastAsia"/>
                <w:color w:val="000000"/>
                <w:sz w:val="24"/>
              </w:rPr>
              <w:t>&lt;55岁；女性&lt;65岁）</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cs="仿宋_GB2312" w:asciiTheme="minorEastAsia" w:hAnsiTheme="minorEastAsia" w:eastAsiaTheme="minorEastAsia"/>
                <w:color w:val="000000"/>
                <w:sz w:val="24"/>
              </w:rPr>
              <w:t>腹型肥胖（腰围：男性≥</w:t>
            </w:r>
            <w:r>
              <w:rPr>
                <w:rFonts w:hint="eastAsia" w:asciiTheme="minorEastAsia" w:hAnsiTheme="minorEastAsia" w:eastAsiaTheme="minorEastAsia"/>
                <w:color w:val="000000"/>
                <w:sz w:val="24"/>
              </w:rPr>
              <w:t>90cm，女性≥85cm）或肥胖（BMI≥28kg/m</w:t>
            </w:r>
            <w:r>
              <w:rPr>
                <w:rFonts w:hint="eastAsia" w:cs="宋体" w:asciiTheme="minorEastAsia" w:hAnsiTheme="minorEastAsia" w:eastAsiaTheme="minorEastAsia"/>
                <w:color w:val="000000"/>
                <w:sz w:val="24"/>
              </w:rPr>
              <w:t>²</w:t>
            </w:r>
            <w:r>
              <w:rPr>
                <w:rFonts w:hint="eastAsia" w:cs="仿宋_GB2312" w:asciiTheme="minorEastAsia" w:hAnsiTheme="minorEastAsia" w:eastAsiaTheme="minorEastAsia"/>
                <w:color w:val="000000"/>
                <w:sz w:val="24"/>
              </w:rPr>
              <w:t>）</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cs="仿宋_GB2312" w:asciiTheme="minorEastAsia" w:hAnsiTheme="minorEastAsia" w:eastAsiaTheme="minorEastAsia"/>
                <w:color w:val="000000"/>
                <w:sz w:val="24"/>
              </w:rPr>
              <w:t>血同型半胱氨酸升高（≥</w:t>
            </w:r>
            <w:r>
              <w:rPr>
                <w:rFonts w:hint="eastAsia" w:asciiTheme="minorEastAsia" w:hAnsiTheme="minorEastAsia" w:eastAsiaTheme="minorEastAsia"/>
                <w:color w:val="000000"/>
                <w:sz w:val="24"/>
              </w:rPr>
              <w:t>10µmol/L）</w:t>
            </w:r>
          </w:p>
          <w:p>
            <w:pPr>
              <w:spacing w:line="440" w:lineRule="exact"/>
              <w:jc w:val="left"/>
              <w:rPr>
                <w:rFonts w:asciiTheme="minorEastAsia" w:hAnsiTheme="minorEastAsia" w:eastAsiaTheme="minorEastAsia"/>
                <w:color w:val="000000"/>
                <w:sz w:val="24"/>
              </w:rPr>
            </w:pPr>
          </w:p>
          <w:p>
            <w:pPr>
              <w:spacing w:line="440" w:lineRule="exact"/>
              <w:jc w:val="left"/>
              <w:rPr>
                <w:rFonts w:asciiTheme="minorEastAsia" w:hAnsiTheme="minorEastAsia" w:eastAsiaTheme="minorEastAsia"/>
                <w:color w:val="000000"/>
                <w:sz w:val="24"/>
              </w:rPr>
            </w:pPr>
          </w:p>
        </w:tc>
        <w:tc>
          <w:tcPr>
            <w:tcW w:w="2976" w:type="dxa"/>
            <w:tcBorders>
              <w:top w:val="single" w:color="auto" w:sz="4" w:space="0"/>
              <w:bottom w:val="single" w:color="auto" w:sz="4" w:space="0"/>
            </w:tcBorders>
            <w:shd w:val="clear" w:color="auto" w:fill="auto"/>
          </w:tcPr>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·左心室肥厚</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心电图：Sokolow_Lyon&gt;38mm或Cornell&gt;2440mm·ms;超声心动图LVMI：男≥125g/ m</w:t>
            </w:r>
            <w:r>
              <w:rPr>
                <w:rFonts w:asciiTheme="minorEastAsia" w:hAnsiTheme="minorEastAsia" w:eastAsiaTheme="minorEastAsia"/>
                <w:color w:val="000000"/>
                <w:sz w:val="24"/>
              </w:rPr>
              <w:t>²</w:t>
            </w:r>
            <w:r>
              <w:rPr>
                <w:rFonts w:hint="eastAsia" w:asciiTheme="minorEastAsia" w:hAnsiTheme="minorEastAsia" w:eastAsiaTheme="minorEastAsia"/>
                <w:color w:val="000000"/>
                <w:sz w:val="24"/>
              </w:rPr>
              <w:t>,女≥120 g/ m</w:t>
            </w:r>
            <w:r>
              <w:rPr>
                <w:rFonts w:asciiTheme="minorEastAsia" w:hAnsiTheme="minorEastAsia" w:eastAsiaTheme="minorEastAsia"/>
                <w:color w:val="000000"/>
                <w:sz w:val="24"/>
              </w:rPr>
              <w:t>²</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·颈动脉超声IMT≥0.9mm或动脉粥样斑块</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·颈-股动脉脉搏波速度≥12m/s</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·踝/臂血压指数&lt;0.9</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·eGFR降低（eGFR&lt;60ml·min</w:t>
            </w:r>
            <w:r>
              <w:rPr>
                <w:rFonts w:asciiTheme="minorEastAsia" w:hAnsiTheme="minorEastAsia" w:eastAsiaTheme="minorEastAsia"/>
                <w:color w:val="000000"/>
                <w:sz w:val="24"/>
                <w:rtl/>
                <w:lang w:bidi="he-IL"/>
              </w:rPr>
              <w:t>־</w:t>
            </w:r>
            <w:r>
              <w:rPr>
                <w:rFonts w:asciiTheme="minorEastAsia" w:hAnsiTheme="minorEastAsia" w:eastAsiaTheme="minorEastAsia"/>
                <w:color w:val="000000"/>
                <w:sz w:val="24"/>
              </w:rPr>
              <w:t>¹</w:t>
            </w:r>
            <w:r>
              <w:rPr>
                <w:rFonts w:hint="eastAsia" w:asciiTheme="minorEastAsia" w:hAnsiTheme="minorEastAsia" w:eastAsiaTheme="minorEastAsia"/>
                <w:color w:val="000000"/>
                <w:sz w:val="24"/>
              </w:rPr>
              <w:t>·1.73 m</w:t>
            </w:r>
            <w:r>
              <w:rPr>
                <w:rFonts w:asciiTheme="minorEastAsia" w:hAnsiTheme="minorEastAsia" w:eastAsiaTheme="minorEastAsia"/>
                <w:color w:val="000000"/>
                <w:sz w:val="24"/>
                <w:rtl/>
                <w:lang w:bidi="he-IL"/>
              </w:rPr>
              <w:t>־</w:t>
            </w:r>
            <w:r>
              <w:rPr>
                <w:rFonts w:asciiTheme="minorEastAsia" w:hAnsiTheme="minorEastAsia" w:eastAsiaTheme="minorEastAsia"/>
                <w:color w:val="000000"/>
                <w:sz w:val="24"/>
              </w:rPr>
              <w:t>²</w:t>
            </w:r>
            <w:r>
              <w:rPr>
                <w:rFonts w:hint="eastAsia" w:asciiTheme="minorEastAsia" w:hAnsiTheme="minorEastAsia" w:eastAsiaTheme="minorEastAsia"/>
                <w:color w:val="000000"/>
                <w:sz w:val="24"/>
              </w:rPr>
              <w:t>）或血清肌酐轻度升高：男性115-133</w:t>
            </w:r>
            <w:r>
              <w:rPr>
                <w:rFonts w:asciiTheme="minorEastAsia" w:hAnsiTheme="minorEastAsia" w:eastAsiaTheme="minorEastAsia"/>
                <w:color w:val="000000"/>
                <w:sz w:val="24"/>
              </w:rPr>
              <w:t>µ</w:t>
            </w:r>
            <w:r>
              <w:rPr>
                <w:rFonts w:hint="eastAsia" w:asciiTheme="minorEastAsia" w:hAnsiTheme="minorEastAsia" w:eastAsiaTheme="minorEastAsia"/>
                <w:color w:val="000000"/>
                <w:sz w:val="24"/>
              </w:rPr>
              <w:t>mol/L（1.3-1.5 mg/dl），女性107-124</w:t>
            </w:r>
            <w:r>
              <w:rPr>
                <w:rFonts w:asciiTheme="minorEastAsia" w:hAnsiTheme="minorEastAsia" w:eastAsiaTheme="minorEastAsia"/>
                <w:color w:val="000000"/>
                <w:sz w:val="24"/>
              </w:rPr>
              <w:t>µ</w:t>
            </w:r>
            <w:r>
              <w:rPr>
                <w:rFonts w:hint="eastAsia" w:asciiTheme="minorEastAsia" w:hAnsiTheme="minorEastAsia" w:eastAsiaTheme="minorEastAsia"/>
                <w:color w:val="000000"/>
                <w:sz w:val="24"/>
              </w:rPr>
              <w:t>mol/L（1.2-1.4mg/dl）</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·微量白蛋白尿：30-300 mg/24h或白蛋白/肌酐比：≥30mg/g（3.5 mg/mmol）</w:t>
            </w:r>
          </w:p>
          <w:p>
            <w:pPr>
              <w:spacing w:line="440" w:lineRule="exact"/>
              <w:jc w:val="left"/>
              <w:rPr>
                <w:rFonts w:asciiTheme="minorEastAsia" w:hAnsiTheme="minorEastAsia" w:eastAsiaTheme="minorEastAsia"/>
                <w:color w:val="000000"/>
                <w:sz w:val="24"/>
              </w:rPr>
            </w:pPr>
          </w:p>
        </w:tc>
        <w:tc>
          <w:tcPr>
            <w:tcW w:w="2551" w:type="dxa"/>
            <w:tcBorders>
              <w:top w:val="single" w:color="auto" w:sz="4" w:space="0"/>
              <w:bottom w:val="single" w:color="auto" w:sz="4" w:space="0"/>
            </w:tcBorders>
            <w:shd w:val="clear" w:color="auto" w:fill="auto"/>
          </w:tcPr>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·脑血管病：脑出血，缺血性脑卒中短暂性脑缺血发作</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·心脏疾病：心肌梗死史，心绞痛，冠状动脉血动重建史，慢性心力衰竭</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·肾脏疾病：糖尿病肾病，肾功能受损，血肌酐：男性≥133</w:t>
            </w:r>
            <w:r>
              <w:rPr>
                <w:rFonts w:asciiTheme="minorEastAsia" w:hAnsiTheme="minorEastAsia" w:eastAsiaTheme="minorEastAsia"/>
                <w:color w:val="000000"/>
                <w:sz w:val="24"/>
              </w:rPr>
              <w:t>µ</w:t>
            </w:r>
            <w:r>
              <w:rPr>
                <w:rFonts w:hint="eastAsia" w:asciiTheme="minorEastAsia" w:hAnsiTheme="minorEastAsia" w:eastAsiaTheme="minorEastAsia"/>
                <w:color w:val="000000"/>
                <w:sz w:val="24"/>
              </w:rPr>
              <w:t>mol/L（1.5 mg/dl），女性≥124</w:t>
            </w:r>
            <w:r>
              <w:rPr>
                <w:rFonts w:asciiTheme="minorEastAsia" w:hAnsiTheme="minorEastAsia" w:eastAsiaTheme="minorEastAsia"/>
                <w:color w:val="000000"/>
                <w:sz w:val="24"/>
              </w:rPr>
              <w:t>µ</w:t>
            </w:r>
            <w:r>
              <w:rPr>
                <w:rFonts w:hint="eastAsia" w:asciiTheme="minorEastAsia" w:hAnsiTheme="minorEastAsia" w:eastAsiaTheme="minorEastAsia"/>
                <w:color w:val="000000"/>
                <w:sz w:val="24"/>
              </w:rPr>
              <w:t>mol/L（1.4mg/dl），蛋白尿（≥300mg/24h）</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·外周血管疾病</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·视网膜病变：出血或渗出，视乳头水肿</w:t>
            </w:r>
          </w:p>
          <w:p>
            <w:pPr>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·糖尿病：空腹血糖≥7.0 mmol/L（126mg/dl），餐后2h血糖≥11.1 mmol/L（200mg/dl），糖化血红蛋白≥6.5%</w:t>
            </w:r>
          </w:p>
        </w:tc>
      </w:tr>
    </w:tbl>
    <w:p>
      <w:pPr>
        <w:spacing w:line="400" w:lineRule="exact"/>
        <w:ind w:firstLine="480" w:firstLineChars="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注：TC:总胆固醇；LDL_C:低密度脂蛋白胆固醇；HDL_C:高密度脂蛋白胆固醇；BMI:体质指数；LVMI:左心室质量指数；IMT:颈动脉内中膜厚度；eGFR</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估算的肾小球滤过率</w:t>
      </w:r>
    </w:p>
    <w:p>
      <w:pPr>
        <w:snapToGrid w:val="0"/>
        <w:spacing w:before="60" w:line="360" w:lineRule="auto"/>
        <w:ind w:left="425" w:firstLine="200"/>
        <w:outlineLvl w:val="0"/>
        <w:rPr>
          <w:rFonts w:ascii="仿宋_GB2312" w:eastAsia="仿宋_GB2312"/>
          <w:color w:val="000000"/>
          <w:sz w:val="24"/>
        </w:rPr>
      </w:pPr>
    </w:p>
    <w:p>
      <w:pPr>
        <w:snapToGrid w:val="0"/>
        <w:spacing w:line="360" w:lineRule="auto"/>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12.呼吸功能障碍判定：参照《道路交通事故受伤人员伤残评定》（GB 18667－2002）和《劳动能力鉴定--职工工伤与职业病致残程度鉴定标准》（GBT16180-2006），结合医学实践执行。症状：自觉气短、胸闷不适、呼吸费力。体征：呼吸频率增快，幅度加深或者变浅，或者伴周期节律异常，鼻翼扇动，紫绀等。实验室检查提示肺功能损害。在保外就医诊断实践中，判定呼吸功能障碍必须综合产生呼吸功能障碍的病理基础、临床表现和相关医技检查结果如血气分析，全面分析。</w:t>
      </w:r>
    </w:p>
    <w:p>
      <w:pPr>
        <w:snapToGrid w:val="0"/>
        <w:spacing w:after="20" w:line="520" w:lineRule="exact"/>
        <w:ind w:firstLine="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呼吸困难分级</w:t>
      </w:r>
    </w:p>
    <w:p>
      <w:pPr>
        <w:snapToGrid w:val="0"/>
        <w:spacing w:after="20" w:line="520" w:lineRule="exact"/>
        <w:ind w:firstLine="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Ⅰ级（轻度）：平路快步行走、登山或上楼梯时气短明显。</w:t>
      </w:r>
    </w:p>
    <w:p>
      <w:pPr>
        <w:snapToGrid w:val="0"/>
        <w:spacing w:after="20" w:line="520" w:lineRule="exact"/>
        <w:ind w:firstLine="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Ⅱ级（中度）：一般速度平路步行100米即有气短，体力活动大部分受限。</w:t>
      </w:r>
    </w:p>
    <w:p>
      <w:pPr>
        <w:snapToGrid w:val="0"/>
        <w:spacing w:after="20" w:line="520" w:lineRule="exact"/>
        <w:ind w:firstLine="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Ⅲ级（重度）：稍活动如穿衣、谈话即有气短，体力活动完全受限。</w:t>
      </w:r>
    </w:p>
    <w:p>
      <w:pPr>
        <w:snapToGrid w:val="0"/>
        <w:spacing w:after="20" w:line="520" w:lineRule="exact"/>
        <w:ind w:firstLine="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Ⅳ级（极重度）：静息时亦有气短。</w:t>
      </w:r>
    </w:p>
    <w:p>
      <w:pPr>
        <w:snapToGrid w:val="0"/>
        <w:spacing w:line="520" w:lineRule="exact"/>
        <w:ind w:firstLine="200"/>
        <w:rPr>
          <w:rFonts w:asciiTheme="minorEastAsia" w:hAnsiTheme="minorEastAsia" w:eastAsiaTheme="minorEastAsia"/>
          <w:color w:val="000000"/>
          <w:sz w:val="28"/>
          <w:szCs w:val="28"/>
        </w:rPr>
      </w:pPr>
    </w:p>
    <w:p>
      <w:pPr>
        <w:widowControl/>
        <w:shd w:val="clear" w:color="auto" w:fill="FFFFFF"/>
        <w:spacing w:line="360" w:lineRule="atLeast"/>
        <w:jc w:val="center"/>
        <w:rPr>
          <w:rFonts w:cs="Tahoma" w:asciiTheme="minorEastAsia" w:hAnsiTheme="minorEastAsia" w:eastAsiaTheme="minorEastAsia"/>
          <w:kern w:val="0"/>
          <w:sz w:val="24"/>
        </w:rPr>
      </w:pPr>
      <w:r>
        <w:rPr>
          <w:rFonts w:hint="eastAsia" w:cs="Tahoma" w:asciiTheme="minorEastAsia" w:hAnsiTheme="minorEastAsia" w:eastAsiaTheme="minorEastAsia"/>
          <w:kern w:val="0"/>
          <w:sz w:val="24"/>
        </w:rPr>
        <w:t xml:space="preserve">  肺功能损伤分级</w:t>
      </w:r>
    </w:p>
    <w:tbl>
      <w:tblPr>
        <w:tblStyle w:val="3"/>
        <w:tblW w:w="8528" w:type="dxa"/>
        <w:tblInd w:w="0" w:type="dxa"/>
        <w:tblBorders>
          <w:top w:val="single" w:color="007033" w:sz="12" w:space="0"/>
          <w:left w:val="none" w:color="auto" w:sz="0" w:space="0"/>
          <w:bottom w:val="single" w:color="007033"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6"/>
        <w:gridCol w:w="1218"/>
        <w:gridCol w:w="1218"/>
        <w:gridCol w:w="1218"/>
        <w:gridCol w:w="1218"/>
        <w:gridCol w:w="1220"/>
        <w:gridCol w:w="1220"/>
      </w:tblGrid>
      <w:tr>
        <w:tblPrEx>
          <w:tblBorders>
            <w:top w:val="single" w:color="007033" w:sz="12" w:space="0"/>
            <w:left w:val="none" w:color="auto" w:sz="0" w:space="0"/>
            <w:bottom w:val="single" w:color="007033"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6" w:type="dxa"/>
            <w:tcBorders>
              <w:top w:val="single" w:color="007033" w:sz="12" w:space="0"/>
              <w:bottom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p>
        </w:tc>
        <w:tc>
          <w:tcPr>
            <w:tcW w:w="1218" w:type="dxa"/>
            <w:tcBorders>
              <w:top w:val="single" w:color="007033" w:sz="12" w:space="0"/>
              <w:bottom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FVC</w:t>
            </w:r>
          </w:p>
        </w:tc>
        <w:tc>
          <w:tcPr>
            <w:tcW w:w="1218" w:type="dxa"/>
            <w:tcBorders>
              <w:top w:val="single" w:color="007033" w:sz="12" w:space="0"/>
              <w:bottom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FEV1</w:t>
            </w:r>
          </w:p>
        </w:tc>
        <w:tc>
          <w:tcPr>
            <w:tcW w:w="1218" w:type="dxa"/>
            <w:tcBorders>
              <w:top w:val="single" w:color="007033" w:sz="12" w:space="0"/>
              <w:bottom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MVV</w:t>
            </w:r>
          </w:p>
        </w:tc>
        <w:tc>
          <w:tcPr>
            <w:tcW w:w="1218" w:type="dxa"/>
            <w:tcBorders>
              <w:top w:val="single" w:color="007033" w:sz="12" w:space="0"/>
              <w:bottom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FEV1/FVC</w:t>
            </w:r>
          </w:p>
        </w:tc>
        <w:tc>
          <w:tcPr>
            <w:tcW w:w="1220" w:type="dxa"/>
            <w:tcBorders>
              <w:top w:val="single" w:color="007033" w:sz="12" w:space="0"/>
              <w:bottom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RV/TLC</w:t>
            </w:r>
          </w:p>
        </w:tc>
        <w:tc>
          <w:tcPr>
            <w:tcW w:w="1220" w:type="dxa"/>
            <w:tcBorders>
              <w:top w:val="single" w:color="007033" w:sz="12" w:space="0"/>
              <w:bottom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DLco</w:t>
            </w:r>
          </w:p>
        </w:tc>
      </w:tr>
      <w:tr>
        <w:tblPrEx>
          <w:tblBorders>
            <w:top w:val="single" w:color="007033" w:sz="12" w:space="0"/>
            <w:left w:val="none" w:color="auto" w:sz="0" w:space="0"/>
            <w:bottom w:val="single" w:color="007033"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6" w:type="dxa"/>
            <w:tcBorders>
              <w:top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正常</w:t>
            </w:r>
          </w:p>
        </w:tc>
        <w:tc>
          <w:tcPr>
            <w:tcW w:w="1218" w:type="dxa"/>
            <w:tcBorders>
              <w:top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＞80</w:t>
            </w:r>
          </w:p>
        </w:tc>
        <w:tc>
          <w:tcPr>
            <w:tcW w:w="1218" w:type="dxa"/>
            <w:tcBorders>
              <w:top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＞80</w:t>
            </w:r>
          </w:p>
        </w:tc>
        <w:tc>
          <w:tcPr>
            <w:tcW w:w="1218" w:type="dxa"/>
            <w:tcBorders>
              <w:top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＞80</w:t>
            </w:r>
          </w:p>
        </w:tc>
        <w:tc>
          <w:tcPr>
            <w:tcW w:w="1218" w:type="dxa"/>
            <w:tcBorders>
              <w:top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＞70</w:t>
            </w:r>
          </w:p>
        </w:tc>
        <w:tc>
          <w:tcPr>
            <w:tcW w:w="1220" w:type="dxa"/>
            <w:tcBorders>
              <w:top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＜35</w:t>
            </w:r>
          </w:p>
        </w:tc>
        <w:tc>
          <w:tcPr>
            <w:tcW w:w="1220" w:type="dxa"/>
            <w:tcBorders>
              <w:top w:val="single" w:color="007033" w:sz="4" w:space="0"/>
            </w:tcBorders>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＞80%</w:t>
            </w:r>
          </w:p>
        </w:tc>
      </w:tr>
      <w:tr>
        <w:tblPrEx>
          <w:tblBorders>
            <w:top w:val="single" w:color="007033" w:sz="12" w:space="0"/>
            <w:left w:val="none" w:color="auto" w:sz="0" w:space="0"/>
            <w:bottom w:val="single" w:color="007033"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6"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轻度损伤</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60-79</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60-79</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60-79</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55-69</w:t>
            </w:r>
          </w:p>
        </w:tc>
        <w:tc>
          <w:tcPr>
            <w:tcW w:w="1220"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36-45</w:t>
            </w:r>
          </w:p>
        </w:tc>
        <w:tc>
          <w:tcPr>
            <w:tcW w:w="1220"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60-79</w:t>
            </w:r>
          </w:p>
        </w:tc>
      </w:tr>
      <w:tr>
        <w:tblPrEx>
          <w:tblBorders>
            <w:top w:val="single" w:color="007033" w:sz="12" w:space="0"/>
            <w:left w:val="none" w:color="auto" w:sz="0" w:space="0"/>
            <w:bottom w:val="single" w:color="007033"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6"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中度损伤</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40-59</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40-59</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40-59</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35-54</w:t>
            </w:r>
          </w:p>
        </w:tc>
        <w:tc>
          <w:tcPr>
            <w:tcW w:w="1220"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46-55</w:t>
            </w:r>
          </w:p>
        </w:tc>
        <w:tc>
          <w:tcPr>
            <w:tcW w:w="1220"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45-59</w:t>
            </w:r>
          </w:p>
        </w:tc>
      </w:tr>
      <w:tr>
        <w:tblPrEx>
          <w:tblBorders>
            <w:top w:val="single" w:color="007033" w:sz="12" w:space="0"/>
            <w:left w:val="none" w:color="auto" w:sz="0" w:space="0"/>
            <w:bottom w:val="single" w:color="007033"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6"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重度损伤</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＜40</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＜40</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＜40</w:t>
            </w:r>
          </w:p>
        </w:tc>
        <w:tc>
          <w:tcPr>
            <w:tcW w:w="1218"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＜35</w:t>
            </w:r>
          </w:p>
        </w:tc>
        <w:tc>
          <w:tcPr>
            <w:tcW w:w="1220"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＞55</w:t>
            </w:r>
          </w:p>
        </w:tc>
        <w:tc>
          <w:tcPr>
            <w:tcW w:w="1220" w:type="dxa"/>
            <w:vAlign w:val="center"/>
          </w:tcPr>
          <w:p>
            <w:pPr>
              <w:tabs>
                <w:tab w:val="center" w:pos="4153"/>
                <w:tab w:val="right" w:pos="8306"/>
              </w:tabs>
              <w:snapToGrid w:val="0"/>
              <w:jc w:val="center"/>
              <w:rPr>
                <w:rFonts w:asciiTheme="minorEastAsia" w:hAnsiTheme="minorEastAsia" w:eastAsiaTheme="minorEastAsia"/>
                <w:sz w:val="24"/>
              </w:rPr>
            </w:pPr>
            <w:r>
              <w:rPr>
                <w:rFonts w:hint="eastAsia" w:asciiTheme="minorEastAsia" w:hAnsiTheme="minorEastAsia" w:eastAsiaTheme="minorEastAsia"/>
                <w:sz w:val="24"/>
              </w:rPr>
              <w:t>＜45</w:t>
            </w:r>
          </w:p>
        </w:tc>
      </w:tr>
    </w:tbl>
    <w:p>
      <w:pPr>
        <w:rPr>
          <w:rFonts w:asciiTheme="minorEastAsia" w:hAnsiTheme="minorEastAsia" w:eastAsiaTheme="minorEastAsia"/>
          <w:sz w:val="24"/>
        </w:rPr>
      </w:pPr>
      <w:r>
        <w:rPr>
          <w:rFonts w:hint="eastAsia" w:asciiTheme="minorEastAsia" w:hAnsiTheme="minorEastAsia" w:eastAsiaTheme="minorEastAsia"/>
          <w:sz w:val="24"/>
        </w:rPr>
        <w:t>注：FVC、FEV1、MVV、DLco均为占预计值百分数，单位为%。</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FVC：用力肺活量；FEV1:1秒钟用力呼气容积；MVV：分钟最大通气量；RV/TLC：残气量/肺总量；DLco：一氧化碳弥散量。</w:t>
      </w:r>
    </w:p>
    <w:p>
      <w:pPr>
        <w:ind w:firstLine="480" w:firstLineChars="200"/>
        <w:rPr>
          <w:rFonts w:asciiTheme="minorEastAsia" w:hAnsiTheme="minorEastAsia" w:eastAsiaTheme="minorEastAsia"/>
          <w:sz w:val="24"/>
        </w:rPr>
      </w:pPr>
    </w:p>
    <w:p>
      <w:pPr>
        <w:ind w:firstLine="585"/>
        <w:jc w:val="center"/>
        <w:rPr>
          <w:rFonts w:asciiTheme="minorEastAsia" w:hAnsiTheme="minorEastAsia" w:eastAsiaTheme="minorEastAsia"/>
          <w:sz w:val="24"/>
        </w:rPr>
      </w:pPr>
      <w:r>
        <w:rPr>
          <w:rFonts w:hint="eastAsia" w:asciiTheme="minorEastAsia" w:hAnsiTheme="minorEastAsia" w:eastAsiaTheme="minorEastAsia"/>
          <w:sz w:val="24"/>
        </w:rPr>
        <w:t>低氧血症分级</w:t>
      </w:r>
    </w:p>
    <w:p>
      <w:pPr>
        <w:ind w:firstLine="585"/>
        <w:rPr>
          <w:rFonts w:asciiTheme="minorEastAsia" w:hAnsiTheme="minorEastAsia" w:eastAsiaTheme="minorEastAsia"/>
          <w:sz w:val="24"/>
        </w:rPr>
      </w:pPr>
      <w:r>
        <w:rPr>
          <w:rFonts w:hint="eastAsia" w:asciiTheme="minorEastAsia" w:hAnsiTheme="minorEastAsia" w:eastAsiaTheme="minorEastAsia"/>
          <w:sz w:val="24"/>
        </w:rPr>
        <w:t>正常：Po</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为13.3kPa～10.6kPa(100 mmHg～80 mmHg)；</w:t>
      </w:r>
    </w:p>
    <w:p>
      <w:pPr>
        <w:ind w:firstLine="585"/>
        <w:rPr>
          <w:rFonts w:asciiTheme="minorEastAsia" w:hAnsiTheme="minorEastAsia" w:eastAsiaTheme="minorEastAsia"/>
          <w:sz w:val="24"/>
        </w:rPr>
      </w:pPr>
      <w:r>
        <w:rPr>
          <w:rFonts w:hint="eastAsia" w:asciiTheme="minorEastAsia" w:hAnsiTheme="minorEastAsia" w:eastAsiaTheme="minorEastAsia"/>
          <w:sz w:val="24"/>
        </w:rPr>
        <w:t>轻度：Po</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为10.5kPa～8.0kPa(79 mmHg～60 mmHg)；</w:t>
      </w:r>
    </w:p>
    <w:p>
      <w:pPr>
        <w:ind w:firstLine="585"/>
        <w:rPr>
          <w:rFonts w:asciiTheme="minorEastAsia" w:hAnsiTheme="minorEastAsia" w:eastAsiaTheme="minorEastAsia"/>
          <w:sz w:val="24"/>
        </w:rPr>
      </w:pPr>
      <w:r>
        <w:rPr>
          <w:rFonts w:hint="eastAsia" w:asciiTheme="minorEastAsia" w:hAnsiTheme="minorEastAsia" w:eastAsiaTheme="minorEastAsia"/>
          <w:sz w:val="24"/>
        </w:rPr>
        <w:t>中度：Po</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为7.9kPa～5.3kPa(59 mmHg～40 mmHg)；</w:t>
      </w:r>
    </w:p>
    <w:p>
      <w:pPr>
        <w:ind w:firstLine="585"/>
        <w:rPr>
          <w:rFonts w:asciiTheme="minorEastAsia" w:hAnsiTheme="minorEastAsia" w:eastAsiaTheme="minorEastAsia"/>
          <w:color w:val="000000"/>
          <w:sz w:val="24"/>
        </w:rPr>
      </w:pPr>
      <w:r>
        <w:rPr>
          <w:rFonts w:hint="eastAsia" w:asciiTheme="minorEastAsia" w:hAnsiTheme="minorEastAsia" w:eastAsiaTheme="minorEastAsia"/>
          <w:sz w:val="24"/>
        </w:rPr>
        <w:t>重度：Po</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＜5.3kPa(＜40 mmHg)。</w:t>
      </w:r>
    </w:p>
    <w:p>
      <w:pPr>
        <w:snapToGrid w:val="0"/>
        <w:spacing w:before="60" w:line="520" w:lineRule="exact"/>
        <w:ind w:firstLine="480" w:firstLineChars="200"/>
        <w:rPr>
          <w:rFonts w:asciiTheme="minorEastAsia" w:hAnsiTheme="minorEastAsia" w:eastAsiaTheme="minorEastAsia"/>
          <w:color w:val="000000"/>
          <w:sz w:val="24"/>
        </w:rPr>
      </w:pPr>
    </w:p>
    <w:p>
      <w:pPr>
        <w:snapToGrid w:val="0"/>
        <w:spacing w:before="60"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13.肝功能损害程度判定</w:t>
      </w:r>
    </w:p>
    <w:p>
      <w:pPr>
        <w:snapToGrid w:val="0"/>
        <w:spacing w:before="60"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A.肝功能损害分度</w:t>
      </w:r>
    </w:p>
    <w:tbl>
      <w:tblPr>
        <w:tblStyle w:val="3"/>
        <w:tblW w:w="8110" w:type="dxa"/>
        <w:tblInd w:w="0" w:type="dxa"/>
        <w:tblLayout w:type="fixed"/>
        <w:tblCellMar>
          <w:top w:w="0" w:type="dxa"/>
          <w:left w:w="30" w:type="dxa"/>
          <w:bottom w:w="0" w:type="dxa"/>
          <w:right w:w="30" w:type="dxa"/>
        </w:tblCellMar>
      </w:tblPr>
      <w:tblGrid>
        <w:gridCol w:w="552"/>
        <w:gridCol w:w="612"/>
        <w:gridCol w:w="1276"/>
        <w:gridCol w:w="1276"/>
        <w:gridCol w:w="1134"/>
        <w:gridCol w:w="850"/>
        <w:gridCol w:w="1418"/>
        <w:gridCol w:w="992"/>
      </w:tblGrid>
      <w:tr>
        <w:tblPrEx>
          <w:tblCellMar>
            <w:top w:w="0" w:type="dxa"/>
            <w:left w:w="30" w:type="dxa"/>
            <w:bottom w:w="0" w:type="dxa"/>
            <w:right w:w="30" w:type="dxa"/>
          </w:tblCellMar>
        </w:tblPrEx>
        <w:trPr>
          <w:trHeight w:val="541" w:hRule="atLeast"/>
        </w:trPr>
        <w:tc>
          <w:tcPr>
            <w:tcW w:w="55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分度</w:t>
            </w:r>
          </w:p>
        </w:tc>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中毒</w:t>
            </w:r>
          </w:p>
          <w:p>
            <w:pPr>
              <w:autoSpaceDE w:val="0"/>
              <w:autoSpaceDN w:val="0"/>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症状</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血浆白蛋白</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血内胆</w:t>
            </w:r>
          </w:p>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红质</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ind w:firstLine="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腹水</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脑症</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凝血酶</w:t>
            </w:r>
          </w:p>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原时间</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谷丙转</w:t>
            </w:r>
          </w:p>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氨酶</w:t>
            </w:r>
          </w:p>
        </w:tc>
      </w:tr>
      <w:tr>
        <w:tblPrEx>
          <w:tblCellMar>
            <w:top w:w="0" w:type="dxa"/>
            <w:left w:w="30" w:type="dxa"/>
            <w:bottom w:w="0" w:type="dxa"/>
            <w:right w:w="30" w:type="dxa"/>
          </w:tblCellMar>
        </w:tblPrEx>
        <w:trPr>
          <w:trHeight w:val="542" w:hRule="atLeast"/>
        </w:trPr>
        <w:tc>
          <w:tcPr>
            <w:tcW w:w="552"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重度</w:t>
            </w:r>
          </w:p>
        </w:tc>
        <w:tc>
          <w:tcPr>
            <w:tcW w:w="612"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重度</w:t>
            </w: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＜2.5g％</w:t>
            </w: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＞10mg％</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顽固性</w:t>
            </w: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明显</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明显延长</w:t>
            </w: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供参考</w:t>
            </w:r>
          </w:p>
        </w:tc>
      </w:tr>
      <w:tr>
        <w:tblPrEx>
          <w:tblCellMar>
            <w:top w:w="0" w:type="dxa"/>
            <w:left w:w="30" w:type="dxa"/>
            <w:bottom w:w="0" w:type="dxa"/>
            <w:right w:w="30" w:type="dxa"/>
          </w:tblCellMar>
        </w:tblPrEx>
        <w:trPr>
          <w:trHeight w:val="542" w:hRule="atLeast"/>
        </w:trPr>
        <w:tc>
          <w:tcPr>
            <w:tcW w:w="55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中度</w:t>
            </w:r>
          </w:p>
        </w:tc>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中度</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2.5-3.0g％</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5-10mg％</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无或者少量，治疗后消失</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无或者轻度</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延长</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供参考</w:t>
            </w:r>
          </w:p>
        </w:tc>
      </w:tr>
      <w:tr>
        <w:tblPrEx>
          <w:tblCellMar>
            <w:top w:w="0" w:type="dxa"/>
            <w:left w:w="30" w:type="dxa"/>
            <w:bottom w:w="0" w:type="dxa"/>
            <w:right w:w="30" w:type="dxa"/>
          </w:tblCellMar>
        </w:tblPrEx>
        <w:trPr>
          <w:trHeight w:val="542" w:hRule="atLeast"/>
        </w:trPr>
        <w:tc>
          <w:tcPr>
            <w:tcW w:w="55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轻度</w:t>
            </w:r>
          </w:p>
        </w:tc>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轻度</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3.0-3.5g％</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1.5-5mg％</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无</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无</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稍延长(较对照组＞3s)</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供参考</w:t>
            </w:r>
          </w:p>
        </w:tc>
      </w:tr>
    </w:tbl>
    <w:p>
      <w:pPr>
        <w:ind w:firstLine="480" w:firstLineChars="200"/>
        <w:rPr>
          <w:rFonts w:asciiTheme="minorEastAsia" w:hAnsiTheme="minorEastAsia" w:eastAsiaTheme="minorEastAsia"/>
          <w:color w:val="000000"/>
          <w:sz w:val="24"/>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B.肝衰竭：肝衰竭的临床诊断需要依据病史、临床表现和辅助检查等综合分析而确定，参照中华医学会《肝衰竭诊治指南（2012年版）》执行。</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急性肝衰竭（急性重型肝炎）：急性起病，2周内出现Ⅱ度及以上肝性脑病并有以下表现：①极度乏力，并有明显厌食、腹胀、恶心、呕吐等严重消化道症状。②短期内黄疸进行性加深。③出血倾向明显，PTA≤40%，且排除其他原因。④肝脏进行性缩小。</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亚急性肝衰竭（亚急性重型肝炎）：起病较急，15天—26周出现以下表现者：①极度乏力，有明显的消化道症状。②黄疸迅速加深，血清总胆红素大于正常值上限10倍或每日上升≥17.1μmol/L。③凝血酶原时间明显延长，PTA≤40%并排除其他原因者。</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（3）慢加急性（亚急性）肝衰竭（慢性重型肝炎）：在慢性肝病基础上，短期内发生急性肝功能失代偿的主要临床表现。</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（4）慢性肝衰竭：在肝硬化基础上，肝功能进行性减退和失代偿。诊断要点为：①有腹水或其他门静脉高压表现。②可有肝性脑病。③血清总胆红素升高，白蛋白明显降低。④有凝血功能障碍，PTA≤40%。</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C. 肝性脑病</w:t>
      </w:r>
    </w:p>
    <w:p>
      <w:pPr>
        <w:jc w:val="center"/>
        <w:rPr>
          <w:rFonts w:asciiTheme="minorEastAsia" w:hAnsiTheme="minorEastAsia" w:eastAsiaTheme="minorEastAsia"/>
          <w:sz w:val="24"/>
        </w:rPr>
      </w:pPr>
      <w:r>
        <w:rPr>
          <w:rFonts w:hint="eastAsia" w:asciiTheme="minorEastAsia" w:hAnsiTheme="minorEastAsia" w:eastAsiaTheme="minorEastAsia"/>
          <w:sz w:val="24"/>
        </w:rPr>
        <w:t xml:space="preserve"> </w:t>
      </w:r>
    </w:p>
    <w:p>
      <w:pPr>
        <w:jc w:val="center"/>
        <w:rPr>
          <w:rFonts w:asciiTheme="minorEastAsia" w:hAnsiTheme="minorEastAsia" w:eastAsiaTheme="minorEastAsia"/>
          <w:sz w:val="24"/>
        </w:rPr>
      </w:pPr>
      <w:r>
        <w:rPr>
          <w:rFonts w:hint="eastAsia" w:asciiTheme="minorEastAsia" w:hAnsiTheme="minorEastAsia" w:eastAsiaTheme="minorEastAsia"/>
          <w:sz w:val="24"/>
        </w:rPr>
        <w:t xml:space="preserve"> 肝性脑病West-Haven分级标准</w:t>
      </w:r>
    </w:p>
    <w:tbl>
      <w:tblPr>
        <w:tblStyle w:val="3"/>
        <w:tblW w:w="8522"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2"/>
        <w:gridCol w:w="572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tcBorders>
              <w:bottom w:val="single" w:color="008000" w:sz="2"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肝性脑病分级</w:t>
            </w:r>
          </w:p>
        </w:tc>
        <w:tc>
          <w:tcPr>
            <w:tcW w:w="5720" w:type="dxa"/>
            <w:tcBorders>
              <w:bottom w:val="single" w:color="008000" w:sz="2"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临床要点</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tcBorders>
              <w:top w:val="single" w:color="008000" w:sz="2" w:space="0"/>
              <w:bottom w:val="nil"/>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0级</w:t>
            </w:r>
          </w:p>
        </w:tc>
        <w:tc>
          <w:tcPr>
            <w:tcW w:w="5720" w:type="dxa"/>
            <w:tcBorders>
              <w:top w:val="single" w:color="008000" w:sz="2" w:space="0"/>
              <w:bottom w:val="nil"/>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没有能觉察的人格或行为变化</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tcBorders>
              <w:top w:val="nil"/>
            </w:tcBorders>
            <w:vAlign w:val="center"/>
          </w:tcPr>
          <w:p>
            <w:pPr>
              <w:jc w:val="center"/>
              <w:rPr>
                <w:rFonts w:asciiTheme="minorEastAsia" w:hAnsiTheme="minorEastAsia" w:eastAsiaTheme="minorEastAsia"/>
                <w:sz w:val="24"/>
              </w:rPr>
            </w:pPr>
          </w:p>
        </w:tc>
        <w:tc>
          <w:tcPr>
            <w:tcW w:w="5720" w:type="dxa"/>
            <w:tcBorders>
              <w:top w:val="nil"/>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无扑翼样震颤</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1级</w:t>
            </w: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轻度认知障碍</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欣快或抑郁</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注意时间缩短</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加法计算能力降低</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可引出扑翼样震颤</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2级</w:t>
            </w: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倦怠或淡漠</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轻度定向异常（时间和空间定向）</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轻微人格改变</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行为错乱，语言不清</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减法计算能力异常</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容易引出扑翼样震颤</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3级</w:t>
            </w: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嗜睡到半昏迷</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rPr>
              <w:t>，但是对语言刺激有反应</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意识模糊</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明显的定向障碍</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扑翼样震颤可能无法引出</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4级</w:t>
            </w:r>
          </w:p>
        </w:tc>
        <w:tc>
          <w:tcPr>
            <w:tcW w:w="572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昏迷</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rPr>
              <w:t>（对语言和强刺激无反应）</w:t>
            </w:r>
          </w:p>
        </w:tc>
      </w:tr>
    </w:tbl>
    <w:p>
      <w:pPr>
        <w:rPr>
          <w:rFonts w:asciiTheme="minorEastAsia" w:hAnsiTheme="minorEastAsia" w:eastAsiaTheme="minorEastAsia"/>
          <w:sz w:val="24"/>
        </w:rPr>
      </w:pPr>
      <w:r>
        <w:rPr>
          <w:rFonts w:hint="eastAsia" w:asciiTheme="minorEastAsia" w:hAnsiTheme="minorEastAsia" w:eastAsiaTheme="minorEastAsia"/>
          <w:sz w:val="24"/>
        </w:rPr>
        <w:t>注：1-4级即Ⅰ-Ⅳ度。</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按照意识障碍以觉醒度改变为主分类，* 半昏迷即中度昏迷，** 昏迷即深昏迷。</w:t>
      </w:r>
    </w:p>
    <w:p>
      <w:pPr>
        <w:ind w:firstLine="480" w:firstLineChars="200"/>
        <w:rPr>
          <w:rFonts w:asciiTheme="minorEastAsia" w:hAnsiTheme="minorEastAsia" w:eastAsiaTheme="minorEastAsia"/>
          <w:color w:val="000000"/>
          <w:sz w:val="24"/>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 急、慢性肾功能损害程度判定：参照《实用内科学》（第十三版）和《内科学》（第七版）进行综合判定。急性肾损伤的原因有肾前性、肾实质性及肾后性三类。每类又有少尿型和非少尿型两种。慢性肾脏病患者肾功能损害分期与病因、病变进展程度、部位、转归以及诊断时间有关。分期：</w:t>
      </w:r>
    </w:p>
    <w:p>
      <w:pPr>
        <w:ind w:firstLine="640" w:firstLineChars="200"/>
        <w:rPr>
          <w:rFonts w:ascii="仿宋_GB2312" w:eastAsia="仿宋_GB2312"/>
          <w:color w:val="000000"/>
          <w:sz w:val="32"/>
          <w:szCs w:val="32"/>
        </w:rPr>
      </w:pPr>
    </w:p>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慢性肾脏病肾功能损害程度分期</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5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CKD分期</w:t>
            </w:r>
          </w:p>
        </w:tc>
        <w:tc>
          <w:tcPr>
            <w:tcW w:w="2552" w:type="dxa"/>
            <w:vAlign w:val="center"/>
          </w:tcPr>
          <w:p>
            <w:pPr>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肾小球滤过率（GFR）或eGFR</w:t>
            </w:r>
          </w:p>
        </w:tc>
        <w:tc>
          <w:tcPr>
            <w:tcW w:w="4586" w:type="dxa"/>
            <w:vAlign w:val="center"/>
          </w:tcPr>
          <w:p>
            <w:pPr>
              <w:spacing w:line="44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主要临床症状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Ⅰ期</w:t>
            </w:r>
          </w:p>
        </w:tc>
        <w:tc>
          <w:tcPr>
            <w:tcW w:w="2552"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≥90毫升/分</w:t>
            </w:r>
          </w:p>
        </w:tc>
        <w:tc>
          <w:tcPr>
            <w:tcW w:w="4586"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无症状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Ⅱ期</w:t>
            </w:r>
          </w:p>
        </w:tc>
        <w:tc>
          <w:tcPr>
            <w:tcW w:w="2552"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60-89毫升/分</w:t>
            </w:r>
          </w:p>
        </w:tc>
        <w:tc>
          <w:tcPr>
            <w:tcW w:w="4586"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基本无症状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Ⅲ期</w:t>
            </w:r>
          </w:p>
        </w:tc>
        <w:tc>
          <w:tcPr>
            <w:tcW w:w="2552"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30-59毫升/分</w:t>
            </w:r>
          </w:p>
        </w:tc>
        <w:tc>
          <w:tcPr>
            <w:tcW w:w="4586"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乏力；轻度贫血；食欲减退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Ⅳ期</w:t>
            </w:r>
          </w:p>
        </w:tc>
        <w:tc>
          <w:tcPr>
            <w:tcW w:w="2552"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15-29毫升/分</w:t>
            </w:r>
          </w:p>
        </w:tc>
        <w:tc>
          <w:tcPr>
            <w:tcW w:w="4586"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贫血；代谢性酸中毒；水电解质紊乱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Ⅴ期</w:t>
            </w:r>
          </w:p>
        </w:tc>
        <w:tc>
          <w:tcPr>
            <w:tcW w:w="2552"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＜15毫升/分</w:t>
            </w:r>
          </w:p>
        </w:tc>
        <w:tc>
          <w:tcPr>
            <w:tcW w:w="4586"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严重酸中毒和全身各系统症状</w:t>
            </w:r>
          </w:p>
        </w:tc>
      </w:tr>
    </w:tbl>
    <w:p>
      <w:pPr>
        <w:rPr>
          <w:rFonts w:cs="Courier New" w:asciiTheme="minorEastAsia" w:hAnsiTheme="minorEastAsia" w:eastAsiaTheme="minorEastAsia"/>
          <w:color w:val="000000"/>
          <w:sz w:val="24"/>
        </w:rPr>
      </w:pPr>
      <w:r>
        <w:rPr>
          <w:rFonts w:hint="eastAsia" w:cs="Courier New" w:asciiTheme="minorEastAsia" w:hAnsiTheme="minorEastAsia" w:eastAsiaTheme="minorEastAsia"/>
          <w:color w:val="000000"/>
          <w:sz w:val="24"/>
        </w:rPr>
        <w:t>注：eGFR：基于血肌酐估计的肾小球滤过率。</w:t>
      </w:r>
    </w:p>
    <w:p>
      <w:pPr>
        <w:adjustRightInd w:val="0"/>
        <w:snapToGrid w:val="0"/>
        <w:spacing w:before="60" w:line="360" w:lineRule="auto"/>
        <w:ind w:left="425" w:firstLine="200"/>
        <w:rPr>
          <w:rFonts w:cs="Courier New" w:asciiTheme="minorEastAsia" w:hAnsiTheme="minorEastAsia" w:eastAsiaTheme="minorEastAsia"/>
          <w:color w:val="000000"/>
          <w:sz w:val="24"/>
        </w:rPr>
      </w:pPr>
    </w:p>
    <w:p>
      <w:pPr>
        <w:adjustRightInd w:val="0"/>
        <w:snapToGrid w:val="0"/>
        <w:spacing w:line="360" w:lineRule="auto"/>
        <w:ind w:firstLine="640" w:firstLineChars="200"/>
        <w:outlineLvl w:val="0"/>
        <w:rPr>
          <w:rFonts w:ascii="仿宋_GB2312" w:eastAsia="仿宋_GB2312"/>
          <w:color w:val="000000"/>
          <w:sz w:val="32"/>
          <w:szCs w:val="32"/>
        </w:rPr>
      </w:pPr>
      <w:r>
        <w:rPr>
          <w:rFonts w:hint="eastAsia" w:ascii="仿宋_GB2312" w:hAnsi="Courier New" w:eastAsia="仿宋_GB2312" w:cs="Courier New"/>
          <w:color w:val="000000"/>
          <w:sz w:val="32"/>
          <w:szCs w:val="32"/>
        </w:rPr>
        <w:t>15. 肢体瘫痪的判定：参照《神经病学》（第2版）判定。</w:t>
      </w:r>
      <w:r>
        <w:rPr>
          <w:rFonts w:hint="eastAsia" w:ascii="仿宋_GB2312" w:eastAsia="仿宋_GB2312"/>
          <w:color w:val="000000"/>
          <w:sz w:val="32"/>
          <w:szCs w:val="32"/>
        </w:rPr>
        <w:t>肢体瘫，以肌力测定判断肢体瘫痪程度。在保外就医诊断实践中，判定肢体瘫痪须具备疾病的解剖（病理）基础， 0级、1级、2级肌力可认定为肢体瘫痪。</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0％；0级：肌肉完全瘫痪，毫无收缩。</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10％；1级：可看到或者触及肌肉轻微收缩，但不能产生动作。</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25％；2级：肌肉在不受重力影响下，可进行运动，即肢体能在床面上移动，但不能抬高。</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50％；3级：在和地心引力相反的方向中尚能完成其动作，但不能对抗外加的阻力。</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75％；4级：能对抗一定的阻力，但较正常人为低。</w:t>
      </w:r>
    </w:p>
    <w:p>
      <w:pPr>
        <w:adjustRightInd w:val="0"/>
        <w:snapToGrid w:val="0"/>
        <w:spacing w:line="360" w:lineRule="auto"/>
        <w:ind w:firstLine="560" w:firstLineChars="200"/>
        <w:rPr>
          <w:rFonts w:cs="Courier New"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100％；5级：正常肌力。</w:t>
      </w:r>
    </w:p>
    <w:p>
      <w:pPr>
        <w:adjustRightInd w:val="0"/>
        <w:snapToGrid w:val="0"/>
        <w:spacing w:line="360" w:lineRule="auto"/>
        <w:ind w:firstLine="640" w:firstLineChars="200"/>
        <w:rPr>
          <w:rFonts w:ascii="仿宋_GB2312" w:hAnsi="Courier New" w:eastAsia="仿宋_GB2312" w:cs="Courier New"/>
          <w:color w:val="000000"/>
          <w:sz w:val="32"/>
          <w:szCs w:val="32"/>
        </w:rPr>
      </w:pPr>
      <w:r>
        <w:rPr>
          <w:rFonts w:hint="eastAsia" w:ascii="仿宋_GB2312" w:hAnsi="Courier New" w:eastAsia="仿宋_GB2312" w:cs="Courier New"/>
          <w:color w:val="000000"/>
          <w:sz w:val="32"/>
          <w:szCs w:val="32"/>
        </w:rPr>
        <w:t>16.</w:t>
      </w:r>
      <w:r>
        <w:rPr>
          <w:rFonts w:hint="eastAsia"/>
        </w:rPr>
        <w:t xml:space="preserve"> </w:t>
      </w:r>
      <w:r>
        <w:rPr>
          <w:rFonts w:hint="eastAsia" w:ascii="仿宋_GB2312" w:hAnsi="Courier New" w:eastAsia="仿宋_GB2312" w:cs="Courier New"/>
          <w:color w:val="000000"/>
          <w:sz w:val="32"/>
          <w:szCs w:val="32"/>
        </w:rPr>
        <w:t>生活难以自理的判定：参照《劳动能力鉴定--职工工伤与职业病致残程度鉴定标准》（GBT 16180-2006），结合医学实践执行。</w:t>
      </w:r>
    </w:p>
    <w:p>
      <w:pPr>
        <w:adjustRightInd w:val="0"/>
        <w:snapToGrid w:val="0"/>
        <w:spacing w:line="360" w:lineRule="auto"/>
        <w:ind w:firstLine="640" w:firstLineChars="200"/>
        <w:rPr>
          <w:rFonts w:ascii="仿宋_GB2312" w:hAnsi="Courier New" w:eastAsia="仿宋_GB2312" w:cs="Courier New"/>
          <w:color w:val="000000"/>
          <w:sz w:val="32"/>
          <w:szCs w:val="32"/>
        </w:rPr>
      </w:pPr>
      <w:r>
        <w:rPr>
          <w:rFonts w:hint="eastAsia" w:ascii="仿宋_GB2312" w:hAnsi="Courier New" w:eastAsia="仿宋_GB2312" w:cs="Courier New"/>
          <w:color w:val="000000"/>
          <w:sz w:val="32"/>
          <w:szCs w:val="32"/>
        </w:rPr>
        <w:t>17．视力障碍判定：眼伤残鉴定依据为眼球或视神经器质性损伤所致的视力、视野、立体视功能障碍及其他解剖结构和功能的损伤或破坏。</w:t>
      </w:r>
    </w:p>
    <w:p>
      <w:pPr>
        <w:spacing w:line="360" w:lineRule="auto"/>
        <w:ind w:firstLine="560" w:firstLineChars="20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（1）主观检查：凡损伤眼裸视或者加用矫正镜片（包括接触镜、针孔镜等）远视力＜0.3为视力障碍。</w:t>
      </w:r>
    </w:p>
    <w:p>
      <w:pPr>
        <w:spacing w:line="360" w:lineRule="auto"/>
        <w:ind w:firstLine="560" w:firstLineChars="20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（2）客观检查：眼底照相、视觉电生理、眼底血管造影，眼科影像学检查如相干光断层成像（OCT）等以明确视力残疾实际情况，并确定对应的具体疾病状态。</w:t>
      </w:r>
    </w:p>
    <w:p>
      <w:pPr>
        <w:spacing w:line="360" w:lineRule="auto"/>
        <w:ind w:firstLine="560" w:firstLineChars="20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视力障碍标准：</w:t>
      </w:r>
    </w:p>
    <w:p>
      <w:pPr>
        <w:spacing w:line="360" w:lineRule="auto"/>
        <w:ind w:firstLine="560" w:firstLineChars="200"/>
        <w:rPr>
          <w:rFonts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低视力：1级：矫正视力＜0.3；2级：矫正视力＜0.1。</w:t>
      </w:r>
    </w:p>
    <w:p>
      <w:pPr>
        <w:adjustRightInd w:val="0"/>
        <w:snapToGrid w:val="0"/>
        <w:spacing w:line="360" w:lineRule="auto"/>
        <w:ind w:firstLine="560" w:firstLineChars="200"/>
        <w:outlineLvl w:val="0"/>
      </w:pPr>
      <w:r>
        <w:rPr>
          <w:rFonts w:hint="eastAsia" w:cs="Courier New" w:asciiTheme="minorEastAsia" w:hAnsiTheme="minorEastAsia" w:eastAsiaTheme="minorEastAsia"/>
          <w:color w:val="000000"/>
          <w:sz w:val="28"/>
          <w:szCs w:val="28"/>
        </w:rPr>
        <w:t>盲：矫正视力＜0.05。</w:t>
      </w:r>
    </w:p>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- 1 -</w:t>
                          </w:r>
                          <w:r>
                            <w:rPr>
                              <w:rFonts w:hint="eastAsia"/>
                              <w:sz w:val="24"/>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Mz97nvmAQAAxwMA&#10;AA4AAAAAAAAAAQAgAAAAHgEAAGRycy9lMm9Eb2MueG1sUEsFBgAAAAAGAAYAWQEAAHYFAAAAAA==&#10;">
              <v:path/>
              <v:fill on="f" focussize="0,0"/>
              <v:stroke on="f" joinstyle="miter"/>
              <v:imagedata o:title=""/>
              <o:lock v:ext="edit"/>
              <v:textbox inset="0mm,0mm,0mm,0mm" style="mso-fit-shape-to-text:t;">
                <w:txbxContent>
                  <w:p>
                    <w:pPr>
                      <w:pStyle w:val="2"/>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- 1 -</w:t>
                    </w:r>
                    <w:r>
                      <w:rPr>
                        <w:rFonts w:hint="eastAsia"/>
                        <w:sz w:val="24"/>
                      </w:rPr>
                      <w:fldChar w:fldCharType="end"/>
                    </w:r>
                  </w:p>
                </w:txbxContent>
              </v:textbox>
            </v:shape>
          </w:pict>
        </mc:Fallback>
      </mc:AlternateContent>
    </w:r>
    <w:sdt>
      <w:sdtPr>
        <w:id w:val="7337133"/>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24C66"/>
    <w:rsid w:val="1D924C66"/>
    <w:rsid w:val="731F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2020-12-21T07:12:00Z</dcterms:created>
  <dc:creator>Snail  walk(慢节奏)</dc:creator>
  <cp:lastModifiedBy>Snail  walk(慢节奏)</cp:lastModifiedBy>
  <dcterms:modified xsi:type="dcterms:W3CDTF">2020-12-21T07:13:23Z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