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方正黑体_GBK" w:cs="Times New Roman"/>
          <w:b w:val="0"/>
          <w:bCs w:val="0"/>
          <w:sz w:val="30"/>
          <w:szCs w:val="30"/>
          <w:lang w:val="en-US" w:eastAsia="zh-CN"/>
        </w:rPr>
      </w:pPr>
      <w:r>
        <w:rPr>
          <w:rFonts w:hint="eastAsia" w:ascii="方正黑体_GBK" w:hAnsi="方正黑体_GBK" w:eastAsia="方正黑体_GBK" w:cs="方正黑体_GBK"/>
          <w:b w:val="0"/>
          <w:bCs w:val="0"/>
          <w:sz w:val="30"/>
          <w:szCs w:val="30"/>
          <w:lang w:val="en-US" w:eastAsia="zh-CN"/>
        </w:rPr>
        <w:t>附件</w:t>
      </w:r>
      <w:r>
        <w:rPr>
          <w:rFonts w:hint="eastAsia" w:ascii="Times New Roman" w:hAnsi="Times New Roman" w:eastAsia="方正黑体_GBK" w:cs="Times New Roman"/>
          <w:b w:val="0"/>
          <w:bCs w:val="0"/>
          <w:sz w:val="30"/>
          <w:szCs w:val="30"/>
          <w:lang w:val="en-US" w:eastAsia="zh-CN"/>
        </w:rPr>
        <w:t>1</w:t>
      </w:r>
    </w:p>
    <w:p>
      <w:pPr>
        <w:pStyle w:val="3"/>
        <w:rPr>
          <w:rFonts w:hint="eastAsia"/>
          <w:lang w:val="en-US" w:eastAsia="zh-CN"/>
        </w:rPr>
      </w:pPr>
    </w:p>
    <w:p>
      <w:pPr>
        <w:ind w:left="0" w:leftChars="0" w:right="0" w:rightChars="0" w:firstLine="0" w:firstLineChars="0"/>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决定修改的规章、行政规范性文件、一般政策性文件目录（12件）</w:t>
      </w:r>
    </w:p>
    <w:p>
      <w:pPr>
        <w:pStyle w:val="3"/>
        <w:keepNext w:val="0"/>
        <w:keepLines w:val="0"/>
        <w:pageBreakBefore w:val="0"/>
        <w:widowControl w:val="0"/>
        <w:kinsoku/>
        <w:wordWrap/>
        <w:overflowPunct/>
        <w:topLinePunct w:val="0"/>
        <w:autoSpaceDE/>
        <w:autoSpaceDN/>
        <w:bidi w:val="0"/>
        <w:adjustRightInd/>
        <w:snapToGrid/>
        <w:spacing w:line="460" w:lineRule="exact"/>
        <w:textAlignment w:val="center"/>
        <w:rPr>
          <w:rFonts w:hint="eastAsia"/>
          <w:lang w:val="en-US" w:eastAsia="zh-CN"/>
        </w:rPr>
      </w:pPr>
    </w:p>
    <w:tbl>
      <w:tblPr>
        <w:tblStyle w:val="12"/>
        <w:tblW w:w="15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20"/>
        <w:gridCol w:w="2873"/>
        <w:gridCol w:w="3119"/>
        <w:gridCol w:w="4631"/>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32"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序号</w:t>
            </w:r>
          </w:p>
        </w:tc>
        <w:tc>
          <w:tcPr>
            <w:tcW w:w="1420"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黑体_GBK" w:hAnsi="方正黑体_GBK" w:eastAsia="方正黑体_GBK" w:cs="方正黑体_GBK"/>
                <w:b w:val="0"/>
                <w:bCs/>
                <w:sz w:val="24"/>
                <w:szCs w:val="24"/>
                <w:lang w:eastAsia="zh-CN"/>
              </w:rPr>
            </w:pPr>
            <w:r>
              <w:rPr>
                <w:rFonts w:hint="eastAsia" w:ascii="方正黑体_GBK" w:hAnsi="方正黑体_GBK" w:eastAsia="方正黑体_GBK" w:cs="方正黑体_GBK"/>
                <w:b w:val="0"/>
                <w:bCs/>
                <w:sz w:val="24"/>
                <w:szCs w:val="24"/>
                <w:lang w:eastAsia="zh-CN"/>
              </w:rPr>
              <w:t>文件性质</w:t>
            </w:r>
          </w:p>
        </w:tc>
        <w:tc>
          <w:tcPr>
            <w:tcW w:w="2873"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黑体_GBK" w:hAnsi="方正黑体_GBK" w:eastAsia="方正黑体_GBK" w:cs="方正黑体_GBK"/>
                <w:b w:val="0"/>
                <w:bCs/>
                <w:sz w:val="24"/>
                <w:szCs w:val="24"/>
                <w:lang w:val="en-US" w:eastAsia="zh-CN"/>
              </w:rPr>
            </w:pPr>
            <w:r>
              <w:rPr>
                <w:rFonts w:hint="eastAsia" w:ascii="方正黑体_GBK" w:hAnsi="方正黑体_GBK" w:eastAsia="方正黑体_GBK" w:cs="方正黑体_GBK"/>
                <w:b w:val="0"/>
                <w:bCs/>
                <w:sz w:val="24"/>
                <w:szCs w:val="24"/>
                <w:lang w:val="en-US" w:eastAsia="zh-CN"/>
              </w:rPr>
              <w:t>文件名称</w:t>
            </w:r>
          </w:p>
        </w:tc>
        <w:tc>
          <w:tcPr>
            <w:tcW w:w="3119"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黑体_GBK" w:hAnsi="方正黑体_GBK" w:eastAsia="方正黑体_GBK" w:cs="方正黑体_GBK"/>
                <w:b w:val="0"/>
                <w:bCs/>
                <w:sz w:val="24"/>
                <w:szCs w:val="24"/>
                <w:lang w:val="en-US" w:eastAsia="zh-CN"/>
              </w:rPr>
            </w:pPr>
            <w:r>
              <w:rPr>
                <w:rFonts w:hint="eastAsia" w:ascii="方正黑体_GBK" w:hAnsi="方正黑体_GBK" w:eastAsia="方正黑体_GBK" w:cs="方正黑体_GBK"/>
                <w:b w:val="0"/>
                <w:bCs/>
                <w:sz w:val="24"/>
                <w:szCs w:val="24"/>
                <w:lang w:val="en-US" w:eastAsia="zh-CN"/>
              </w:rPr>
              <w:t>文号</w:t>
            </w:r>
          </w:p>
        </w:tc>
        <w:tc>
          <w:tcPr>
            <w:tcW w:w="4631"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黑体_GBK" w:hAnsi="方正黑体_GBK" w:eastAsia="方正黑体_GBK" w:cs="方正黑体_GBK"/>
                <w:b w:val="0"/>
                <w:bCs/>
                <w:sz w:val="24"/>
                <w:szCs w:val="24"/>
                <w:lang w:val="en-US" w:eastAsia="zh-CN"/>
              </w:rPr>
            </w:pPr>
            <w:r>
              <w:rPr>
                <w:rFonts w:hint="eastAsia" w:ascii="方正黑体_GBK" w:hAnsi="方正黑体_GBK" w:eastAsia="方正黑体_GBK" w:cs="方正黑体_GBK"/>
                <w:b w:val="0"/>
                <w:bCs/>
                <w:sz w:val="24"/>
                <w:szCs w:val="24"/>
                <w:lang w:val="en-US" w:eastAsia="zh-CN"/>
              </w:rPr>
              <w:t>修改内容</w:t>
            </w:r>
          </w:p>
        </w:tc>
        <w:tc>
          <w:tcPr>
            <w:tcW w:w="2241"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方正黑体_GBK" w:hAnsi="方正黑体_GBK" w:eastAsia="方正黑体_GBK" w:cs="方正黑体_GBK"/>
                <w:b w:val="0"/>
                <w:bCs/>
                <w:sz w:val="24"/>
                <w:szCs w:val="24"/>
                <w:lang w:val="en-US" w:eastAsia="zh-CN"/>
              </w:rPr>
            </w:pPr>
            <w:r>
              <w:rPr>
                <w:rFonts w:hint="eastAsia" w:ascii="方正黑体_GBK" w:hAnsi="方正黑体_GBK" w:eastAsia="方正黑体_GBK" w:cs="方正黑体_GBK"/>
                <w:b w:val="0"/>
                <w:bCs/>
                <w:sz w:val="24"/>
                <w:szCs w:val="24"/>
                <w:lang w:val="en-US" w:eastAsia="zh-CN"/>
              </w:rPr>
              <w:t>发文单位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32"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kern w:val="2"/>
                <w:sz w:val="24"/>
                <w:szCs w:val="24"/>
                <w:lang w:val="en" w:eastAsia="zh-CN" w:bidi="ar-SA"/>
              </w:rPr>
            </w:pPr>
            <w:r>
              <w:rPr>
                <w:rFonts w:hint="default" w:ascii="Times New Roman" w:hAnsi="Times New Roman" w:eastAsia="方正仿宋_GBK" w:cs="Times New Roman"/>
                <w:kern w:val="2"/>
                <w:sz w:val="24"/>
                <w:szCs w:val="24"/>
                <w:lang w:val="en" w:eastAsia="zh-CN" w:bidi="ar-SA"/>
              </w:rPr>
              <w:t>1</w:t>
            </w:r>
          </w:p>
        </w:tc>
        <w:tc>
          <w:tcPr>
            <w:tcW w:w="1420"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kern w:val="2"/>
                <w:sz w:val="24"/>
                <w:szCs w:val="24"/>
                <w:lang w:val="en" w:eastAsia="zh-CN" w:bidi="ar-SA"/>
              </w:rPr>
            </w:pPr>
            <w:r>
              <w:rPr>
                <w:rFonts w:hint="eastAsia" w:ascii="Times New Roman" w:hAnsi="Times New Roman" w:eastAsia="方正仿宋_GBK" w:cs="Times New Roman"/>
                <w:kern w:val="2"/>
                <w:sz w:val="24"/>
                <w:szCs w:val="24"/>
                <w:lang w:val="en" w:eastAsia="zh-CN" w:bidi="ar-SA"/>
              </w:rPr>
              <w:t>规章</w:t>
            </w:r>
          </w:p>
        </w:tc>
        <w:tc>
          <w:tcPr>
            <w:tcW w:w="2873"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eastAsia="zh-CN"/>
              </w:rPr>
              <w:t>外债管理暂行办法</w:t>
            </w:r>
          </w:p>
        </w:tc>
        <w:tc>
          <w:tcPr>
            <w:tcW w:w="3119"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国家发展计划委员会、财政部、国家外汇管理局令</w:t>
            </w:r>
          </w:p>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eastAsia="zh-CN"/>
              </w:rPr>
              <w:t>2003年第28号</w:t>
            </w:r>
          </w:p>
        </w:tc>
        <w:tc>
          <w:tcPr>
            <w:tcW w:w="4631" w:type="dxa"/>
            <w:vAlign w:val="center"/>
          </w:tcPr>
          <w:p>
            <w:pPr>
              <w:keepNext w:val="0"/>
              <w:keepLines w:val="0"/>
              <w:pageBreakBefore w:val="0"/>
              <w:kinsoku/>
              <w:wordWrap/>
              <w:overflowPunct/>
              <w:topLinePunct w:val="0"/>
              <w:autoSpaceDE/>
              <w:autoSpaceDN/>
              <w:bidi w:val="0"/>
              <w:adjustRightInd/>
              <w:snapToGrid/>
              <w:spacing w:line="380" w:lineRule="exact"/>
              <w:jc w:val="both"/>
              <w:rPr>
                <w:rFonts w:hint="default" w:ascii="Times New Roman" w:hAnsi="Times New Roman" w:eastAsia="方正仿宋_GBK" w:cs="Times New Roman"/>
                <w:kern w:val="2"/>
                <w:sz w:val="24"/>
                <w:szCs w:val="24"/>
                <w:lang w:val="en" w:eastAsia="zh-CN" w:bidi="ar-SA"/>
              </w:rPr>
            </w:pPr>
            <w:r>
              <w:rPr>
                <w:rFonts w:hint="default" w:ascii="Times New Roman" w:hAnsi="Times New Roman" w:eastAsia="方正仿宋_GBK" w:cs="Times New Roman"/>
                <w:kern w:val="2"/>
                <w:sz w:val="24"/>
                <w:szCs w:val="24"/>
                <w:lang w:val="en-US" w:eastAsia="zh-CN" w:bidi="ar-SA"/>
              </w:rPr>
              <w:t>将第三十条中的</w:t>
            </w:r>
            <w:r>
              <w:rPr>
                <w:rFonts w:hint="eastAsia" w:ascii="方正仿宋_GBK" w:hAnsi="方正仿宋_GBK" w:eastAsia="方正仿宋_GBK" w:cs="方正仿宋_GBK"/>
                <w:kern w:val="2"/>
                <w:sz w:val="24"/>
                <w:szCs w:val="24"/>
                <w:lang w:val="en" w:eastAsia="zh-CN" w:bidi="ar-SA"/>
              </w:rPr>
              <w:t>“</w:t>
            </w:r>
            <w:r>
              <w:rPr>
                <w:rFonts w:hint="default" w:ascii="Times New Roman" w:hAnsi="Times New Roman" w:eastAsia="方正仿宋_GBK" w:cs="Times New Roman"/>
                <w:kern w:val="2"/>
                <w:sz w:val="24"/>
                <w:szCs w:val="24"/>
                <w:lang w:val="en-US" w:eastAsia="zh-CN" w:bidi="ar-SA"/>
              </w:rPr>
              <w:t>依据《国家重大建设项目稽察办法》的规定，向使用外债资金的国家重大建设项目派出稽察特派员，对项目的实施和资金使用情况进行稽察</w:t>
            </w:r>
            <w:r>
              <w:rPr>
                <w:rFonts w:hint="eastAsia" w:ascii="Times New Roman" w:hAnsi="Times New Roman" w:eastAsia="方正仿宋_GBK" w:cs="Times New Roman"/>
                <w:kern w:val="2"/>
                <w:sz w:val="24"/>
                <w:szCs w:val="24"/>
                <w:lang w:val="en" w:eastAsia="zh-CN" w:bidi="ar-SA"/>
              </w:rPr>
              <w:t>”</w:t>
            </w:r>
            <w:r>
              <w:rPr>
                <w:rFonts w:hint="default" w:ascii="Times New Roman" w:hAnsi="Times New Roman" w:eastAsia="方正仿宋_GBK" w:cs="Times New Roman"/>
                <w:kern w:val="2"/>
                <w:sz w:val="24"/>
                <w:szCs w:val="24"/>
                <w:lang w:val="en-US" w:eastAsia="zh-CN" w:bidi="ar-SA"/>
              </w:rPr>
              <w:t>修改为</w:t>
            </w:r>
            <w:r>
              <w:rPr>
                <w:rFonts w:hint="eastAsia" w:ascii="方正仿宋_GBK" w:hAnsi="方正仿宋_GBK" w:eastAsia="方正仿宋_GBK" w:cs="方正仿宋_GBK"/>
                <w:kern w:val="2"/>
                <w:sz w:val="24"/>
                <w:szCs w:val="24"/>
                <w:lang w:val="en" w:eastAsia="zh-CN" w:bidi="ar-SA"/>
              </w:rPr>
              <w:t>“</w:t>
            </w:r>
            <w:r>
              <w:rPr>
                <w:rFonts w:hint="default" w:ascii="Times New Roman" w:hAnsi="Times New Roman" w:eastAsia="方正仿宋_GBK" w:cs="Times New Roman"/>
                <w:kern w:val="2"/>
                <w:sz w:val="24"/>
                <w:szCs w:val="24"/>
                <w:lang w:val="en-US" w:eastAsia="zh-CN" w:bidi="ar-SA"/>
              </w:rPr>
              <w:t>依法依规对使用外债资金的国家重大建设项目进行监督管理</w:t>
            </w:r>
            <w:r>
              <w:rPr>
                <w:rFonts w:hint="eastAsia" w:ascii="Times New Roman" w:hAnsi="Times New Roman" w:eastAsia="方正仿宋_GBK" w:cs="Times New Roman"/>
                <w:kern w:val="2"/>
                <w:sz w:val="24"/>
                <w:szCs w:val="24"/>
                <w:lang w:val="en" w:eastAsia="zh-CN" w:bidi="ar-SA"/>
              </w:rPr>
              <w:t>”</w:t>
            </w:r>
          </w:p>
        </w:tc>
        <w:tc>
          <w:tcPr>
            <w:tcW w:w="2241"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kern w:val="2"/>
                <w:sz w:val="24"/>
                <w:szCs w:val="24"/>
                <w:lang w:val="en" w:eastAsia="zh-CN" w:bidi="ar-SA"/>
              </w:rPr>
            </w:pPr>
            <w:r>
              <w:rPr>
                <w:rFonts w:hint="default" w:ascii="Times New Roman" w:hAnsi="Times New Roman" w:eastAsia="方正仿宋_GBK" w:cs="Times New Roman"/>
                <w:sz w:val="24"/>
                <w:szCs w:val="24"/>
                <w:lang w:eastAsia="zh-CN"/>
              </w:rPr>
              <w:t>国家计委、财政部、外汇局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32"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规章</w:t>
            </w:r>
          </w:p>
        </w:tc>
        <w:tc>
          <w:tcPr>
            <w:tcW w:w="2873"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eastAsia="zh-CN"/>
              </w:rPr>
              <w:t>国家高技术产业发展项目管理暂行办法</w:t>
            </w:r>
          </w:p>
        </w:tc>
        <w:tc>
          <w:tcPr>
            <w:tcW w:w="3119"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国家发展改革委令</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eastAsia="zh-CN"/>
              </w:rPr>
              <w:t>2006年第43号</w:t>
            </w:r>
          </w:p>
        </w:tc>
        <w:tc>
          <w:tcPr>
            <w:tcW w:w="4631" w:type="dxa"/>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将第六、七、二十六、三十五、三十六、四十条中的</w:t>
            </w:r>
            <w:r>
              <w:rPr>
                <w:rFonts w:hint="eastAsia" w:ascii="方正仿宋_GBK" w:hAnsi="方正仿宋_GBK" w:eastAsia="方正仿宋_GBK" w:cs="方正仿宋_GBK"/>
                <w:kern w:val="2"/>
                <w:sz w:val="24"/>
                <w:szCs w:val="24"/>
                <w:lang w:val="en" w:eastAsia="zh-CN" w:bidi="ar-SA"/>
              </w:rPr>
              <w:t>“</w:t>
            </w:r>
            <w:r>
              <w:rPr>
                <w:rFonts w:hint="default" w:ascii="Times New Roman" w:hAnsi="Times New Roman" w:eastAsia="方正仿宋_GBK" w:cs="Times New Roman"/>
                <w:kern w:val="2"/>
                <w:sz w:val="24"/>
                <w:szCs w:val="24"/>
                <w:lang w:val="en-US" w:eastAsia="zh-CN" w:bidi="ar-SA"/>
              </w:rPr>
              <w:t>稽察</w:t>
            </w:r>
            <w:r>
              <w:rPr>
                <w:rFonts w:hint="eastAsia" w:ascii="Times New Roman" w:hAnsi="Times New Roman" w:eastAsia="方正仿宋_GBK" w:cs="Times New Roman"/>
                <w:kern w:val="2"/>
                <w:sz w:val="24"/>
                <w:szCs w:val="24"/>
                <w:lang w:val="en" w:eastAsia="zh-CN" w:bidi="ar-SA"/>
              </w:rPr>
              <w:t>”</w:t>
            </w:r>
            <w:r>
              <w:rPr>
                <w:rFonts w:hint="default" w:ascii="Times New Roman" w:hAnsi="Times New Roman" w:eastAsia="方正仿宋_GBK" w:cs="Times New Roman"/>
                <w:kern w:val="2"/>
                <w:sz w:val="24"/>
                <w:szCs w:val="24"/>
                <w:lang w:val="en-US" w:eastAsia="zh-CN" w:bidi="ar-SA"/>
              </w:rPr>
              <w:t>修改为</w:t>
            </w:r>
            <w:r>
              <w:rPr>
                <w:rFonts w:hint="eastAsia" w:ascii="方正仿宋_GBK" w:hAnsi="方正仿宋_GBK" w:eastAsia="方正仿宋_GBK" w:cs="方正仿宋_GBK"/>
                <w:kern w:val="2"/>
                <w:sz w:val="24"/>
                <w:szCs w:val="24"/>
                <w:lang w:val="en" w:eastAsia="zh-CN" w:bidi="ar-SA"/>
              </w:rPr>
              <w:t>“</w:t>
            </w:r>
            <w:r>
              <w:rPr>
                <w:rFonts w:hint="default" w:ascii="Times New Roman" w:hAnsi="Times New Roman" w:eastAsia="方正仿宋_GBK" w:cs="Times New Roman"/>
                <w:kern w:val="2"/>
                <w:sz w:val="24"/>
                <w:szCs w:val="24"/>
                <w:lang w:val="en-US" w:eastAsia="zh-CN" w:bidi="ar-SA"/>
              </w:rPr>
              <w:t>监督</w:t>
            </w:r>
            <w:r>
              <w:rPr>
                <w:rFonts w:hint="eastAsia" w:ascii="Times New Roman" w:hAnsi="Times New Roman" w:eastAsia="方正仿宋_GBK" w:cs="Times New Roman"/>
                <w:kern w:val="2"/>
                <w:sz w:val="24"/>
                <w:szCs w:val="24"/>
                <w:lang w:val="en" w:eastAsia="zh-CN" w:bidi="ar-SA"/>
              </w:rPr>
              <w:t>”</w:t>
            </w:r>
          </w:p>
        </w:tc>
        <w:tc>
          <w:tcPr>
            <w:tcW w:w="2241"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eastAsia="zh-CN"/>
              </w:rPr>
              <w:t>国家发展改革委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i w:val="0"/>
                <w:color w:val="000000"/>
                <w:kern w:val="0"/>
                <w:sz w:val="24"/>
                <w:szCs w:val="24"/>
                <w:u w:val="none"/>
                <w:lang w:val="en-US" w:eastAsia="zh-CN" w:bidi="ar"/>
              </w:rPr>
              <w:t>3</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行政规范性文件</w:t>
            </w:r>
          </w:p>
        </w:tc>
        <w:tc>
          <w:tcPr>
            <w:tcW w:w="287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关于对取消和下放行政审批事项加强后续监管的</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指导意见</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发改政研〔</w:t>
            </w:r>
            <w:r>
              <w:rPr>
                <w:rFonts w:hint="default" w:ascii="Times New Roman" w:hAnsi="Times New Roman" w:eastAsia="方正仿宋_GBK" w:cs="Times New Roman"/>
                <w:color w:val="000000"/>
                <w:sz w:val="24"/>
                <w:szCs w:val="24"/>
                <w:u w:val="none"/>
                <w:lang w:val="en-US" w:eastAsia="zh-CN" w:bidi="ar"/>
              </w:rPr>
              <w:t>2013〕2091号</w:t>
            </w:r>
          </w:p>
        </w:tc>
        <w:tc>
          <w:tcPr>
            <w:tcW w:w="463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删除第三条</w:t>
            </w:r>
            <w:r>
              <w:rPr>
                <w:rFonts w:hint="default" w:ascii="Times New Roman" w:hAnsi="Times New Roman" w:eastAsia="方正仿宋_GBK" w:cs="Times New Roman"/>
                <w:color w:val="000000"/>
                <w:sz w:val="24"/>
                <w:szCs w:val="24"/>
                <w:u w:val="none"/>
                <w:lang w:val="en-US" w:eastAsia="zh-CN" w:bidi="ar"/>
              </w:rPr>
              <w:t>11中的</w:t>
            </w:r>
            <w:r>
              <w:rPr>
                <w:rFonts w:hint="default" w:ascii="方正仿宋_GBK" w:hAnsi="方正仿宋_GBK" w:eastAsia="方正仿宋_GBK" w:cs="方正仿宋_GBK"/>
                <w:color w:val="000000"/>
                <w:sz w:val="24"/>
                <w:szCs w:val="24"/>
                <w:u w:val="none"/>
                <w:lang w:val="en" w:eastAsia="zh-CN" w:bidi="ar"/>
              </w:rPr>
              <w:t>“</w:t>
            </w:r>
            <w:r>
              <w:rPr>
                <w:rFonts w:hint="default" w:ascii="Times New Roman" w:hAnsi="Times New Roman" w:eastAsia="方正仿宋_GBK" w:cs="Times New Roman"/>
                <w:color w:val="000000"/>
                <w:sz w:val="24"/>
                <w:szCs w:val="24"/>
                <w:u w:val="none"/>
                <w:lang w:val="en-US" w:eastAsia="zh-CN" w:bidi="ar"/>
              </w:rPr>
              <w:t>项目稽</w:t>
            </w:r>
            <w:r>
              <w:rPr>
                <w:rFonts w:hint="eastAsia" w:ascii="Times New Roman" w:hAnsi="Times New Roman" w:eastAsia="方正仿宋_GBK" w:cs="Times New Roman"/>
                <w:color w:val="000000"/>
                <w:sz w:val="24"/>
                <w:szCs w:val="24"/>
                <w:u w:val="none"/>
                <w:lang w:val="en-US" w:eastAsia="zh-CN" w:bidi="ar"/>
              </w:rPr>
              <w:t>察</w:t>
            </w:r>
            <w:r>
              <w:rPr>
                <w:rFonts w:hint="default" w:ascii="Times New Roman" w:hAnsi="Times New Roman" w:eastAsia="方正仿宋_GBK" w:cs="Times New Roman"/>
                <w:color w:val="000000"/>
                <w:sz w:val="24"/>
                <w:szCs w:val="24"/>
                <w:u w:val="none"/>
                <w:lang w:val="en-US" w:eastAsia="zh-CN" w:bidi="ar"/>
              </w:rPr>
              <w:t>、</w:t>
            </w:r>
            <w:r>
              <w:rPr>
                <w:rFonts w:hint="eastAsia" w:ascii="Times New Roman" w:hAnsi="Times New Roman" w:eastAsia="方正仿宋_GBK" w:cs="Times New Roman"/>
                <w:color w:val="000000"/>
                <w:sz w:val="24"/>
                <w:szCs w:val="24"/>
                <w:u w:val="none"/>
                <w:lang w:val="en" w:eastAsia="zh-CN" w:bidi="ar"/>
              </w:rPr>
              <w:t>”</w:t>
            </w:r>
          </w:p>
        </w:tc>
        <w:tc>
          <w:tcPr>
            <w:tcW w:w="2241"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国家发展改革委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i w:val="0"/>
                <w:color w:val="000000"/>
                <w:kern w:val="0"/>
                <w:sz w:val="24"/>
                <w:szCs w:val="24"/>
                <w:u w:val="none"/>
                <w:lang w:val="en-US" w:eastAsia="zh-CN" w:bidi="ar"/>
              </w:rPr>
              <w:t>4</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行政规范性文件</w:t>
            </w:r>
          </w:p>
        </w:tc>
        <w:tc>
          <w:tcPr>
            <w:tcW w:w="287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关于印发实施《国家重大科技基础设施管理办法》的通知</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发改高技〔</w:t>
            </w:r>
            <w:r>
              <w:rPr>
                <w:rFonts w:hint="default" w:ascii="Times New Roman" w:hAnsi="Times New Roman" w:eastAsia="方正仿宋_GBK" w:cs="Times New Roman"/>
                <w:color w:val="000000"/>
                <w:sz w:val="24"/>
                <w:szCs w:val="24"/>
                <w:u w:val="none"/>
                <w:lang w:val="en-US" w:eastAsia="zh-CN" w:bidi="ar"/>
              </w:rPr>
              <w:t>2014〕2545号</w:t>
            </w:r>
          </w:p>
        </w:tc>
        <w:tc>
          <w:tcPr>
            <w:tcW w:w="463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将第十六条第（二）项修改为：</w:t>
            </w:r>
            <w:r>
              <w:rPr>
                <w:rFonts w:hint="eastAsia" w:ascii="方正仿宋_GBK" w:hAnsi="方正仿宋_GBK" w:eastAsia="方正仿宋_GBK" w:cs="方正仿宋_GBK"/>
                <w:i w:val="0"/>
                <w:color w:val="000000"/>
                <w:kern w:val="0"/>
                <w:sz w:val="24"/>
                <w:szCs w:val="24"/>
                <w:u w:val="none"/>
                <w:lang w:val="en" w:eastAsia="zh-CN" w:bidi="ar"/>
              </w:rPr>
              <w:t>“</w:t>
            </w:r>
            <w:r>
              <w:rPr>
                <w:rFonts w:hint="default" w:ascii="Times New Roman" w:hAnsi="Times New Roman" w:eastAsia="方正仿宋_GBK" w:cs="Times New Roman"/>
                <w:i w:val="0"/>
                <w:color w:val="000000"/>
                <w:kern w:val="0"/>
                <w:sz w:val="24"/>
                <w:szCs w:val="24"/>
                <w:u w:val="none"/>
                <w:lang w:val="en-US" w:eastAsia="zh-CN" w:bidi="ar"/>
              </w:rPr>
              <w:t>（二）投资概算发生变化，且调整幅度在总概算百分之十以内的，依托单位应提交调整方案，经主管单位审核后，由国家发展改革委核定或委托主管单位核定。调整幅度超过百分之十的，依托单位应提交概算调整报告，经主管单位审核后报国家发展改革委；国家发展改革委原则上请第三方进行评估，并依据评估结论和具体情况，调整或委托主管单位调整概算；</w:t>
            </w:r>
            <w:r>
              <w:rPr>
                <w:rFonts w:hint="eastAsia" w:ascii="方正仿宋_GBK" w:hAnsi="方正仿宋_GBK" w:eastAsia="方正仿宋_GBK" w:cs="方正仿宋_GBK"/>
                <w:i w:val="0"/>
                <w:color w:val="000000"/>
                <w:kern w:val="0"/>
                <w:sz w:val="24"/>
                <w:szCs w:val="24"/>
                <w:u w:val="none"/>
                <w:lang w:val="en" w:eastAsia="zh-CN" w:bidi="ar"/>
              </w:rPr>
              <w:t>”</w:t>
            </w:r>
          </w:p>
        </w:tc>
        <w:tc>
          <w:tcPr>
            <w:tcW w:w="2241"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财政部、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科学技术部、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自然科学基金委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5</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行政规范性文件</w:t>
            </w:r>
          </w:p>
        </w:tc>
        <w:tc>
          <w:tcPr>
            <w:tcW w:w="287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关于印发重点流域水环境综合治理中央预算内投资计划管理办法的通知</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发改地区规〔</w:t>
            </w:r>
            <w:r>
              <w:rPr>
                <w:rFonts w:hint="default" w:ascii="Times New Roman" w:hAnsi="Times New Roman" w:eastAsia="方正仿宋_GBK" w:cs="Times New Roman"/>
                <w:color w:val="000000"/>
                <w:sz w:val="24"/>
                <w:szCs w:val="24"/>
                <w:u w:val="none"/>
                <w:lang w:val="en-US" w:eastAsia="zh-CN" w:bidi="ar"/>
              </w:rPr>
              <w:t>2017〕2136号</w:t>
            </w:r>
          </w:p>
        </w:tc>
        <w:tc>
          <w:tcPr>
            <w:tcW w:w="463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1.删除第五条第（四）项、第六条第（四）项中的</w:t>
            </w:r>
            <w:r>
              <w:rPr>
                <w:rFonts w:hint="eastAsia" w:ascii="方正仿宋_GBK" w:hAnsi="方正仿宋_GBK" w:eastAsia="方正仿宋_GBK" w:cs="方正仿宋_GBK"/>
                <w:i w:val="0"/>
                <w:color w:val="000000"/>
                <w:kern w:val="0"/>
                <w:sz w:val="24"/>
                <w:szCs w:val="24"/>
                <w:u w:val="none"/>
                <w:lang w:val="en" w:eastAsia="zh-CN" w:bidi="ar"/>
              </w:rPr>
              <w:t>“</w:t>
            </w:r>
            <w:r>
              <w:rPr>
                <w:rFonts w:hint="default" w:ascii="Times New Roman" w:hAnsi="Times New Roman" w:eastAsia="方正仿宋_GBK" w:cs="Times New Roman"/>
                <w:i w:val="0"/>
                <w:color w:val="000000"/>
                <w:kern w:val="0"/>
                <w:sz w:val="24"/>
                <w:szCs w:val="24"/>
                <w:u w:val="none"/>
                <w:lang w:val="en-US" w:eastAsia="zh-CN" w:bidi="ar"/>
              </w:rPr>
              <w:t>稽察和</w:t>
            </w:r>
            <w:r>
              <w:rPr>
                <w:rFonts w:hint="eastAsia" w:ascii="Times New Roman" w:hAnsi="Times New Roman" w:eastAsia="方正仿宋_GBK" w:cs="Times New Roman"/>
                <w:i w:val="0"/>
                <w:color w:val="000000"/>
                <w:kern w:val="0"/>
                <w:sz w:val="24"/>
                <w:szCs w:val="24"/>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2.删除第七条第（二）项、第八条第（四）项中的</w:t>
            </w:r>
            <w:r>
              <w:rPr>
                <w:rFonts w:hint="eastAsia" w:ascii="方正仿宋_GBK" w:hAnsi="方正仿宋_GBK" w:eastAsia="方正仿宋_GBK" w:cs="方正仿宋_GBK"/>
                <w:i w:val="0"/>
                <w:color w:val="000000"/>
                <w:kern w:val="0"/>
                <w:sz w:val="24"/>
                <w:szCs w:val="24"/>
                <w:u w:val="none"/>
                <w:lang w:val="en" w:eastAsia="zh-CN" w:bidi="ar"/>
              </w:rPr>
              <w:t>“</w:t>
            </w:r>
            <w:r>
              <w:rPr>
                <w:rFonts w:hint="default" w:ascii="Times New Roman" w:hAnsi="Times New Roman" w:eastAsia="方正仿宋_GBK" w:cs="Times New Roman"/>
                <w:i w:val="0"/>
                <w:color w:val="000000"/>
                <w:kern w:val="0"/>
                <w:sz w:val="24"/>
                <w:szCs w:val="24"/>
                <w:u w:val="none"/>
                <w:lang w:val="en-US" w:eastAsia="zh-CN" w:bidi="ar"/>
              </w:rPr>
              <w:t>稽察</w:t>
            </w:r>
            <w:r>
              <w:rPr>
                <w:rFonts w:hint="default" w:ascii="Times New Roman" w:hAnsi="Times New Roman" w:eastAsia="方正仿宋_GBK" w:cs="Times New Roman"/>
                <w:i w:val="0"/>
                <w:color w:val="000000"/>
                <w:kern w:val="0"/>
                <w:sz w:val="24"/>
                <w:szCs w:val="24"/>
                <w:u w:val="none"/>
                <w:lang w:val="en" w:eastAsia="zh-CN" w:bidi="ar"/>
              </w:rPr>
              <w:t>、</w:t>
            </w:r>
            <w:r>
              <w:rPr>
                <w:rFonts w:hint="eastAsia" w:ascii="Times New Roman" w:hAnsi="Times New Roman" w:eastAsia="方正仿宋_GBK" w:cs="Times New Roman"/>
                <w:i w:val="0"/>
                <w:color w:val="000000"/>
                <w:kern w:val="0"/>
                <w:sz w:val="24"/>
                <w:szCs w:val="24"/>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kern w:val="0"/>
                <w:sz w:val="24"/>
                <w:szCs w:val="24"/>
                <w:u w:val="none"/>
                <w:lang w:val="en" w:eastAsia="zh-CN" w:bidi="ar"/>
              </w:rPr>
            </w:pPr>
            <w:r>
              <w:rPr>
                <w:rFonts w:hint="default" w:ascii="Times New Roman" w:hAnsi="Times New Roman" w:eastAsia="方正仿宋_GBK" w:cs="Times New Roman"/>
                <w:i w:val="0"/>
                <w:color w:val="000000"/>
                <w:kern w:val="0"/>
                <w:sz w:val="24"/>
                <w:szCs w:val="24"/>
                <w:u w:val="none"/>
                <w:lang w:val="en-US" w:eastAsia="zh-CN" w:bidi="ar"/>
              </w:rPr>
              <w:t>3.将第二十四条第一款修改为</w:t>
            </w:r>
            <w:r>
              <w:rPr>
                <w:rFonts w:hint="eastAsia" w:ascii="方正仿宋_GBK" w:hAnsi="方正仿宋_GBK" w:eastAsia="方正仿宋_GBK" w:cs="方正仿宋_GBK"/>
                <w:i w:val="0"/>
                <w:color w:val="000000"/>
                <w:kern w:val="0"/>
                <w:sz w:val="24"/>
                <w:szCs w:val="24"/>
                <w:u w:val="none"/>
                <w:lang w:val="en" w:eastAsia="zh-CN" w:bidi="ar"/>
              </w:rPr>
              <w:t>“</w:t>
            </w:r>
            <w:r>
              <w:rPr>
                <w:rFonts w:hint="default" w:ascii="Times New Roman" w:hAnsi="Times New Roman" w:eastAsia="方正仿宋_GBK" w:cs="Times New Roman"/>
                <w:i w:val="0"/>
                <w:color w:val="000000"/>
                <w:kern w:val="0"/>
                <w:sz w:val="24"/>
                <w:szCs w:val="24"/>
                <w:u w:val="none"/>
                <w:lang w:val="en-US" w:eastAsia="zh-CN" w:bidi="ar"/>
              </w:rPr>
              <w:t>各级发展改革部门要切实加强对项目的检查力度，采取督促自查、实地调研抽查、联合有关部门不定期检查等多种方式监管，深化现场检查。项目单位要主动接受并配合相关部门做好审查，如实提供项目相关文件资料和情况。省级发展改革委对于当年度投资计划项目，至少开展一次现场检查。对于检查和调度等发现的问题，要逐项督促整改，其中重大问题要及时报告国家发展改革委。</w:t>
            </w:r>
            <w:r>
              <w:rPr>
                <w:rFonts w:hint="eastAsia" w:ascii="Times New Roman" w:hAnsi="Times New Roman" w:eastAsia="方正仿宋_GBK" w:cs="Times New Roman"/>
                <w:i w:val="0"/>
                <w:color w:val="000000"/>
                <w:kern w:val="0"/>
                <w:sz w:val="24"/>
                <w:szCs w:val="24"/>
                <w:u w:val="none"/>
                <w:lang w:val="en" w:eastAsia="zh-CN" w:bidi="ar"/>
              </w:rPr>
              <w:t>”</w:t>
            </w:r>
          </w:p>
          <w:p>
            <w:pPr>
              <w:keepNext w:val="0"/>
              <w:keepLines w:val="0"/>
              <w:pageBreakBefore w:val="0"/>
              <w:widowControl/>
              <w:suppressLineNumbers w:val="0"/>
              <w:kinsoku w:val="0"/>
              <w:wordWrap/>
              <w:overflowPunct/>
              <w:topLinePunct w:val="0"/>
              <w:autoSpaceDE w:val="0"/>
              <w:autoSpaceDN w:val="0"/>
              <w:bidi w:val="0"/>
              <w:adjustRightInd/>
              <w:snapToGrid/>
              <w:spacing w:line="38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4.删除第二十六条第（六）项中的</w:t>
            </w:r>
            <w:r>
              <w:rPr>
                <w:rFonts w:hint="default" w:ascii="方正仿宋_GBK" w:hAnsi="方正仿宋_GBK" w:eastAsia="方正仿宋_GBK" w:cs="方正仿宋_GBK"/>
                <w:i w:val="0"/>
                <w:color w:val="000000"/>
                <w:spacing w:val="0"/>
                <w:kern w:val="0"/>
                <w:sz w:val="24"/>
                <w:szCs w:val="24"/>
                <w:u w:val="none"/>
                <w:lang w:val="en" w:eastAsia="zh-CN" w:bidi="ar"/>
              </w:rPr>
              <w:t>“</w:t>
            </w:r>
            <w:r>
              <w:rPr>
                <w:rFonts w:hint="default" w:ascii="Times New Roman" w:hAnsi="Times New Roman" w:eastAsia="方正仿宋_GBK" w:cs="Times New Roman"/>
                <w:i w:val="0"/>
                <w:color w:val="000000"/>
                <w:spacing w:val="0"/>
                <w:kern w:val="0"/>
                <w:sz w:val="24"/>
                <w:szCs w:val="24"/>
                <w:u w:val="none"/>
                <w:lang w:val="en-US" w:eastAsia="zh-CN" w:bidi="ar"/>
              </w:rPr>
              <w:t>或稽察</w:t>
            </w:r>
            <w:r>
              <w:rPr>
                <w:rFonts w:hint="eastAsia" w:ascii="Times New Roman" w:hAnsi="Times New Roman" w:eastAsia="方正仿宋_GBK" w:cs="Times New Roman"/>
                <w:i w:val="0"/>
                <w:color w:val="000000"/>
                <w:spacing w:val="0"/>
                <w:kern w:val="0"/>
                <w:sz w:val="24"/>
                <w:szCs w:val="24"/>
                <w:u w:val="none"/>
                <w:lang w:val="en" w:eastAsia="zh-CN" w:bidi="ar"/>
              </w:rPr>
              <w:t>”</w:t>
            </w:r>
          </w:p>
        </w:tc>
        <w:tc>
          <w:tcPr>
            <w:tcW w:w="2241"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6</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一般政策性文件</w:t>
            </w:r>
          </w:p>
        </w:tc>
        <w:tc>
          <w:tcPr>
            <w:tcW w:w="287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关于颁发《电力发、送、变电工程基本建设项目竣工决算报告编制规程（试行）》的通知</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能源经〔</w:t>
            </w:r>
            <w:r>
              <w:rPr>
                <w:rFonts w:hint="default" w:ascii="Times New Roman" w:hAnsi="Times New Roman" w:eastAsia="方正仿宋_GBK" w:cs="Times New Roman"/>
                <w:color w:val="000000"/>
                <w:sz w:val="24"/>
                <w:szCs w:val="24"/>
                <w:u w:val="none"/>
                <w:lang w:val="en-US" w:eastAsia="zh-CN" w:bidi="ar"/>
              </w:rPr>
              <w:t>1992〕960号</w:t>
            </w:r>
          </w:p>
        </w:tc>
        <w:tc>
          <w:tcPr>
            <w:tcW w:w="463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删除第十四条</w:t>
            </w:r>
          </w:p>
        </w:tc>
        <w:tc>
          <w:tcPr>
            <w:tcW w:w="2241"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能源部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7</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一般政策性文件</w:t>
            </w:r>
          </w:p>
        </w:tc>
        <w:tc>
          <w:tcPr>
            <w:tcW w:w="287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关于我委办理工程建设项目审批（核准）时核准招标内容的意见</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发改办法规〔</w:t>
            </w:r>
            <w:r>
              <w:rPr>
                <w:rFonts w:hint="default" w:ascii="Times New Roman" w:hAnsi="Times New Roman" w:eastAsia="方正仿宋_GBK" w:cs="Times New Roman"/>
                <w:color w:val="000000"/>
                <w:sz w:val="24"/>
                <w:szCs w:val="24"/>
                <w:u w:val="none"/>
                <w:lang w:val="en-US" w:eastAsia="zh-CN" w:bidi="ar"/>
              </w:rPr>
              <w:t>2005〕824号</w:t>
            </w:r>
          </w:p>
        </w:tc>
        <w:tc>
          <w:tcPr>
            <w:tcW w:w="4631"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1.将第一条第（二）项修改为</w:t>
            </w:r>
            <w:r>
              <w:rPr>
                <w:rFonts w:hint="eastAsia" w:ascii="方正仿宋_GBK" w:hAnsi="方正仿宋_GBK" w:eastAsia="方正仿宋_GBK" w:cs="方正仿宋_GBK"/>
                <w:kern w:val="2"/>
                <w:sz w:val="24"/>
                <w:szCs w:val="24"/>
                <w:lang w:val="en" w:eastAsia="zh-CN" w:bidi="ar-SA"/>
              </w:rPr>
              <w:t>“</w:t>
            </w:r>
            <w:r>
              <w:rPr>
                <w:rFonts w:hint="default" w:ascii="Times New Roman" w:hAnsi="Times New Roman" w:eastAsia="方正仿宋_GBK" w:cs="Times New Roman"/>
                <w:kern w:val="2"/>
                <w:sz w:val="24"/>
                <w:szCs w:val="24"/>
                <w:lang w:val="en-US" w:eastAsia="zh-CN" w:bidi="ar-SA"/>
              </w:rPr>
              <w:t>其他有关司局负责本司局审批、核准项目招标内容的核准及督促落实。</w:t>
            </w:r>
            <w:r>
              <w:rPr>
                <w:rFonts w:hint="eastAsia" w:ascii="Times New Roman" w:hAnsi="Times New Roman" w:eastAsia="方正仿宋_GBK" w:cs="Times New Roman"/>
                <w:kern w:val="2"/>
                <w:sz w:val="24"/>
                <w:szCs w:val="24"/>
                <w:lang w:val="en" w:eastAsia="zh-CN" w:bidi="ar-SA"/>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default" w:ascii="Times New Roman" w:hAnsi="Times New Roman" w:eastAsia="方正仿宋_GBK" w:cs="Times New Roman"/>
                <w:kern w:val="2"/>
                <w:sz w:val="24"/>
                <w:szCs w:val="24"/>
                <w:lang w:val="en" w:eastAsia="zh-CN" w:bidi="ar-SA"/>
              </w:rPr>
            </w:pPr>
            <w:r>
              <w:rPr>
                <w:rFonts w:hint="default" w:ascii="Times New Roman" w:hAnsi="Times New Roman" w:eastAsia="方正仿宋_GBK" w:cs="Times New Roman"/>
                <w:kern w:val="2"/>
                <w:sz w:val="24"/>
                <w:szCs w:val="24"/>
                <w:lang w:val="en-US" w:eastAsia="zh-CN" w:bidi="ar-SA"/>
              </w:rPr>
              <w:t>2.删除第一条第（四）项</w:t>
            </w:r>
            <w:r>
              <w:rPr>
                <w:rFonts w:hint="eastAsia" w:ascii="方正仿宋_GBK" w:hAnsi="方正仿宋_GBK" w:eastAsia="方正仿宋_GBK" w:cs="方正仿宋_GBK"/>
                <w:kern w:val="2"/>
                <w:sz w:val="24"/>
                <w:szCs w:val="24"/>
                <w:lang w:val="en" w:eastAsia="zh-CN" w:bidi="ar-SA"/>
              </w:rPr>
              <w:t>“</w:t>
            </w:r>
            <w:r>
              <w:rPr>
                <w:rFonts w:hint="default" w:ascii="Times New Roman" w:hAnsi="Times New Roman" w:eastAsia="方正仿宋_GBK" w:cs="Times New Roman"/>
                <w:kern w:val="2"/>
                <w:sz w:val="24"/>
                <w:szCs w:val="24"/>
                <w:lang w:val="en-US" w:eastAsia="zh-CN" w:bidi="ar-SA"/>
              </w:rPr>
              <w:t>稽察办负责招标内容执行情况的稽察，并将稽察情况通报投资司、法规司和其他有关司局。</w:t>
            </w:r>
            <w:r>
              <w:rPr>
                <w:rFonts w:hint="eastAsia" w:ascii="Times New Roman" w:hAnsi="Times New Roman" w:eastAsia="方正仿宋_GBK" w:cs="Times New Roman"/>
                <w:kern w:val="2"/>
                <w:sz w:val="24"/>
                <w:szCs w:val="24"/>
                <w:lang w:val="en" w:eastAsia="zh-CN" w:bidi="ar-SA"/>
              </w:rPr>
              <w:t>”</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3.将第五条第（三）项修改为</w:t>
            </w:r>
            <w:r>
              <w:rPr>
                <w:rFonts w:hint="eastAsia" w:ascii="方正仿宋_GBK" w:hAnsi="方正仿宋_GBK" w:eastAsia="方正仿宋_GBK" w:cs="方正仿宋_GBK"/>
                <w:kern w:val="2"/>
                <w:sz w:val="24"/>
                <w:szCs w:val="24"/>
                <w:lang w:val="en" w:eastAsia="zh-CN" w:bidi="ar-SA"/>
              </w:rPr>
              <w:t>“</w:t>
            </w:r>
            <w:r>
              <w:rPr>
                <w:rFonts w:hint="default" w:ascii="Times New Roman" w:hAnsi="Times New Roman" w:eastAsia="方正仿宋_GBK" w:cs="Times New Roman"/>
                <w:kern w:val="2"/>
                <w:sz w:val="24"/>
                <w:szCs w:val="24"/>
                <w:lang w:val="en-US" w:eastAsia="zh-CN" w:bidi="ar-SA"/>
              </w:rPr>
              <w:t>有关司局核准招标内容后，应将包括招标内容核准意见的可行性研究报告、项目申请报告或者资金申请报告批复文件抄送投资司（一式五份）。</w:t>
            </w:r>
            <w:r>
              <w:rPr>
                <w:rFonts w:hint="eastAsia" w:ascii="Times New Roman" w:hAnsi="Times New Roman" w:eastAsia="方正仿宋_GBK" w:cs="Times New Roman"/>
                <w:kern w:val="2"/>
                <w:sz w:val="24"/>
                <w:szCs w:val="24"/>
                <w:lang w:val="en" w:eastAsia="zh-CN" w:bidi="ar-SA"/>
              </w:rPr>
              <w:t>”</w:t>
            </w:r>
          </w:p>
        </w:tc>
        <w:tc>
          <w:tcPr>
            <w:tcW w:w="2241"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国家发展改革委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8</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一般政策性文件</w:t>
            </w:r>
          </w:p>
        </w:tc>
        <w:tc>
          <w:tcPr>
            <w:tcW w:w="287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关于加强城市轨道交通规划建设管理的通知</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发改基础〔</w:t>
            </w:r>
            <w:r>
              <w:rPr>
                <w:rFonts w:hint="default" w:ascii="Times New Roman" w:hAnsi="Times New Roman" w:eastAsia="方正仿宋_GBK" w:cs="Times New Roman"/>
                <w:color w:val="000000"/>
                <w:sz w:val="24"/>
                <w:szCs w:val="24"/>
                <w:u w:val="none"/>
                <w:lang w:val="en-US" w:eastAsia="zh-CN" w:bidi="ar"/>
              </w:rPr>
              <w:t>2015〕49号</w:t>
            </w:r>
          </w:p>
        </w:tc>
        <w:tc>
          <w:tcPr>
            <w:tcW w:w="463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删除第二条第（五）项中的</w:t>
            </w:r>
            <w:r>
              <w:rPr>
                <w:rFonts w:hint="eastAsia" w:ascii="方正仿宋_GBK" w:hAnsi="方正仿宋_GBK" w:eastAsia="方正仿宋_GBK" w:cs="方正仿宋_GBK"/>
                <w:i w:val="0"/>
                <w:color w:val="000000"/>
                <w:kern w:val="0"/>
                <w:sz w:val="24"/>
                <w:szCs w:val="24"/>
                <w:u w:val="none"/>
                <w:lang w:val="en" w:eastAsia="zh-CN" w:bidi="ar"/>
              </w:rPr>
              <w:t>“</w:t>
            </w:r>
            <w:r>
              <w:rPr>
                <w:rFonts w:hint="default" w:ascii="Times New Roman" w:hAnsi="Times New Roman" w:eastAsia="方正仿宋_GBK" w:cs="Times New Roman"/>
                <w:i w:val="0"/>
                <w:color w:val="000000"/>
                <w:kern w:val="0"/>
                <w:sz w:val="24"/>
                <w:szCs w:val="24"/>
                <w:u w:val="none"/>
                <w:lang w:val="en-US" w:eastAsia="zh-CN" w:bidi="ar"/>
              </w:rPr>
              <w:t>和稽察</w:t>
            </w:r>
            <w:r>
              <w:rPr>
                <w:rFonts w:hint="eastAsia" w:ascii="Times New Roman" w:hAnsi="Times New Roman" w:eastAsia="方正仿宋_GBK" w:cs="Times New Roman"/>
                <w:i w:val="0"/>
                <w:color w:val="000000"/>
                <w:kern w:val="0"/>
                <w:sz w:val="24"/>
                <w:szCs w:val="24"/>
                <w:u w:val="none"/>
                <w:lang w:val="en" w:eastAsia="zh-CN" w:bidi="ar"/>
              </w:rPr>
              <w:t>”</w:t>
            </w:r>
          </w:p>
        </w:tc>
        <w:tc>
          <w:tcPr>
            <w:tcW w:w="2241" w:type="dxa"/>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国家发展改革委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一般政策性文件</w:t>
            </w:r>
          </w:p>
        </w:tc>
        <w:tc>
          <w:tcPr>
            <w:tcW w:w="287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印发《关于对海关高级认证企业实施联合激励的合作备忘录》的通知</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发改财金〔</w:t>
            </w:r>
            <w:r>
              <w:rPr>
                <w:rFonts w:hint="default" w:ascii="Times New Roman" w:hAnsi="Times New Roman" w:eastAsia="方正仿宋_GBK" w:cs="Times New Roman"/>
                <w:color w:val="000000"/>
                <w:sz w:val="24"/>
                <w:szCs w:val="24"/>
                <w:u w:val="none"/>
                <w:lang w:val="en-US" w:eastAsia="zh-CN" w:bidi="ar"/>
              </w:rPr>
              <w:t>2016〕2190号</w:t>
            </w:r>
          </w:p>
        </w:tc>
        <w:tc>
          <w:tcPr>
            <w:tcW w:w="463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删除第四条第（二）项中的</w:t>
            </w:r>
            <w:r>
              <w:rPr>
                <w:rFonts w:hint="eastAsia" w:ascii="方正仿宋_GBK" w:hAnsi="方正仿宋_GBK" w:eastAsia="方正仿宋_GBK" w:cs="方正仿宋_GBK"/>
                <w:color w:val="000000"/>
                <w:sz w:val="24"/>
                <w:szCs w:val="24"/>
                <w:u w:val="none"/>
                <w:lang w:val="en" w:eastAsia="zh-CN" w:bidi="ar"/>
              </w:rPr>
              <w:t>“</w:t>
            </w:r>
            <w:r>
              <w:rPr>
                <w:rFonts w:hint="default" w:ascii="Times New Roman" w:hAnsi="Times New Roman" w:eastAsia="方正仿宋_GBK" w:cs="Times New Roman"/>
                <w:color w:val="000000"/>
                <w:sz w:val="24"/>
                <w:szCs w:val="24"/>
                <w:u w:val="none"/>
                <w:lang w:val="en-US" w:eastAsia="zh-CN" w:bidi="ar"/>
              </w:rPr>
              <w:t>18.重大项目稽查中，对于中央预算内投资项目专项稽查过程中，可适当减少抽查比例。</w:t>
            </w:r>
            <w:r>
              <w:rPr>
                <w:rFonts w:hint="eastAsia" w:ascii="Times New Roman" w:hAnsi="Times New Roman" w:eastAsia="方正仿宋_GBK" w:cs="Times New Roman"/>
                <w:color w:val="000000"/>
                <w:sz w:val="24"/>
                <w:szCs w:val="24"/>
                <w:u w:val="none"/>
                <w:lang w:val="en" w:eastAsia="zh-CN" w:bidi="ar"/>
              </w:rPr>
              <w:t>”</w:t>
            </w:r>
          </w:p>
        </w:tc>
        <w:tc>
          <w:tcPr>
            <w:tcW w:w="2241"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人民银行、海关总署等40个部门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10</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一般政策性文件</w:t>
            </w:r>
          </w:p>
        </w:tc>
        <w:tc>
          <w:tcPr>
            <w:tcW w:w="287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关于促进市域（郊）铁路发展的指导意见</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发改基础〔</w:t>
            </w:r>
            <w:r>
              <w:rPr>
                <w:rFonts w:hint="default" w:ascii="Times New Roman" w:hAnsi="Times New Roman" w:eastAsia="方正仿宋_GBK" w:cs="Times New Roman"/>
                <w:color w:val="000000"/>
                <w:sz w:val="24"/>
                <w:szCs w:val="24"/>
                <w:u w:val="none"/>
                <w:lang w:val="en-US" w:eastAsia="zh-CN" w:bidi="ar"/>
              </w:rPr>
              <w:t>2017〕1173号</w:t>
            </w:r>
          </w:p>
        </w:tc>
        <w:tc>
          <w:tcPr>
            <w:tcW w:w="463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删除第</w:t>
            </w:r>
            <w:r>
              <w:rPr>
                <w:rFonts w:hint="default" w:ascii="Times New Roman" w:hAnsi="Times New Roman" w:eastAsia="方正仿宋_GBK" w:cs="Times New Roman"/>
                <w:color w:val="000000"/>
                <w:sz w:val="24"/>
                <w:szCs w:val="24"/>
                <w:u w:val="none"/>
                <w:lang w:val="en-US" w:eastAsia="zh-CN" w:bidi="ar"/>
              </w:rPr>
              <w:t>五条第（十七）项中的</w:t>
            </w:r>
            <w:r>
              <w:rPr>
                <w:rFonts w:hint="eastAsia" w:ascii="方正仿宋_GBK" w:hAnsi="方正仿宋_GBK" w:eastAsia="方正仿宋_GBK" w:cs="方正仿宋_GBK"/>
                <w:color w:val="000000"/>
                <w:sz w:val="24"/>
                <w:szCs w:val="24"/>
                <w:u w:val="none"/>
                <w:lang w:val="en" w:eastAsia="zh-CN" w:bidi="ar"/>
              </w:rPr>
              <w:t>“</w:t>
            </w:r>
            <w:r>
              <w:rPr>
                <w:rFonts w:hint="default" w:ascii="Times New Roman" w:hAnsi="Times New Roman" w:eastAsia="方正仿宋_GBK" w:cs="Times New Roman"/>
                <w:color w:val="000000"/>
                <w:sz w:val="24"/>
                <w:szCs w:val="24"/>
                <w:u w:val="none"/>
                <w:lang w:val="en-US" w:eastAsia="zh-CN" w:bidi="ar"/>
              </w:rPr>
              <w:t>和稽察</w:t>
            </w:r>
            <w:r>
              <w:rPr>
                <w:rFonts w:hint="eastAsia" w:ascii="Times New Roman" w:hAnsi="Times New Roman" w:eastAsia="方正仿宋_GBK" w:cs="Times New Roman"/>
                <w:color w:val="000000"/>
                <w:sz w:val="24"/>
                <w:szCs w:val="24"/>
                <w:u w:val="none"/>
                <w:lang w:val="en" w:eastAsia="zh-CN" w:bidi="ar"/>
              </w:rPr>
              <w:t>”</w:t>
            </w:r>
          </w:p>
        </w:tc>
        <w:tc>
          <w:tcPr>
            <w:tcW w:w="2241"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住房城乡建设部、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i w:val="0"/>
                <w:color w:val="000000"/>
                <w:kern w:val="0"/>
                <w:sz w:val="24"/>
                <w:szCs w:val="24"/>
                <w:u w:val="none"/>
                <w:lang w:val="en" w:eastAsia="zh-CN" w:bidi="ar"/>
              </w:rPr>
            </w:pPr>
            <w:r>
              <w:rPr>
                <w:rFonts w:hint="default" w:ascii="Times New Roman" w:hAnsi="Times New Roman" w:eastAsia="方正仿宋_GBK" w:cs="Times New Roman"/>
                <w:i w:val="0"/>
                <w:color w:val="000000"/>
                <w:kern w:val="0"/>
                <w:sz w:val="24"/>
                <w:szCs w:val="24"/>
                <w:u w:val="none"/>
                <w:lang w:val="en-US" w:eastAsia="zh-CN" w:bidi="ar"/>
              </w:rPr>
              <w:t>交通运输部</w:t>
            </w:r>
            <w:r>
              <w:rPr>
                <w:rFonts w:hint="default" w:ascii="Times New Roman" w:hAnsi="Times New Roman" w:eastAsia="方正仿宋_GBK" w:cs="Times New Roman"/>
                <w:i w:val="0"/>
                <w:color w:val="000000"/>
                <w:kern w:val="0"/>
                <w:sz w:val="24"/>
                <w:szCs w:val="24"/>
                <w:u w:val="none"/>
                <w:lang w:val="en" w:eastAsia="zh-CN" w:bidi="ar"/>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铁路局、</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中国铁路总公司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11</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一般政策性文件</w:t>
            </w:r>
          </w:p>
        </w:tc>
        <w:tc>
          <w:tcPr>
            <w:tcW w:w="287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印发《关于对安全生产领域守信生产经营单位及其有关人员开展联合激励的合作备忘录》的通知</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发改财金〔</w:t>
            </w:r>
            <w:r>
              <w:rPr>
                <w:rFonts w:hint="default" w:ascii="Times New Roman" w:hAnsi="Times New Roman" w:eastAsia="方正仿宋_GBK" w:cs="Times New Roman"/>
                <w:color w:val="000000"/>
                <w:sz w:val="24"/>
                <w:szCs w:val="24"/>
                <w:u w:val="none"/>
                <w:lang w:val="en-US" w:eastAsia="zh-CN" w:bidi="ar"/>
              </w:rPr>
              <w:t>2017〕2219号</w:t>
            </w:r>
          </w:p>
        </w:tc>
        <w:tc>
          <w:tcPr>
            <w:tcW w:w="463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删除第二条第（一）项中的</w:t>
            </w:r>
            <w:r>
              <w:rPr>
                <w:rFonts w:hint="eastAsia" w:ascii="方正仿宋_GBK" w:hAnsi="方正仿宋_GBK" w:eastAsia="方正仿宋_GBK" w:cs="方正仿宋_GBK"/>
                <w:i w:val="0"/>
                <w:color w:val="000000"/>
                <w:kern w:val="0"/>
                <w:sz w:val="24"/>
                <w:szCs w:val="24"/>
                <w:u w:val="none"/>
                <w:lang w:val="en" w:eastAsia="zh-CN" w:bidi="ar"/>
              </w:rPr>
              <w:t>“</w:t>
            </w:r>
            <w:r>
              <w:rPr>
                <w:rFonts w:hint="default" w:ascii="Times New Roman" w:hAnsi="Times New Roman" w:eastAsia="方正仿宋_GBK" w:cs="Times New Roman"/>
                <w:color w:val="000000"/>
                <w:sz w:val="24"/>
                <w:szCs w:val="24"/>
                <w:u w:val="none"/>
                <w:lang w:val="en-US" w:eastAsia="zh-CN" w:bidi="ar"/>
              </w:rPr>
              <w:t>6.重大项目稽查中，对于中央预算内投资项目，可适当减少抽查比例</w:t>
            </w:r>
            <w:r>
              <w:rPr>
                <w:rFonts w:hint="default" w:ascii="Times New Roman" w:hAnsi="Times New Roman" w:eastAsia="方正仿宋_GBK" w:cs="Times New Roman"/>
                <w:color w:val="000000"/>
                <w:sz w:val="24"/>
                <w:szCs w:val="24"/>
                <w:u w:val="none"/>
                <w:lang w:val="en" w:eastAsia="zh-CN" w:bidi="ar"/>
              </w:rPr>
              <w:t>。</w:t>
            </w:r>
            <w:r>
              <w:rPr>
                <w:rFonts w:hint="eastAsia" w:ascii="Times New Roman" w:hAnsi="Times New Roman" w:eastAsia="方正仿宋_GBK" w:cs="Times New Roman"/>
                <w:i w:val="0"/>
                <w:color w:val="000000"/>
                <w:kern w:val="0"/>
                <w:sz w:val="24"/>
                <w:szCs w:val="24"/>
                <w:u w:val="none"/>
                <w:lang w:val="en" w:eastAsia="zh-CN" w:bidi="ar"/>
              </w:rPr>
              <w:t>”</w:t>
            </w:r>
          </w:p>
        </w:tc>
        <w:tc>
          <w:tcPr>
            <w:tcW w:w="2241"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人民银行、安全监管总局等26个部门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12</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一般政策性文件</w:t>
            </w:r>
          </w:p>
        </w:tc>
        <w:tc>
          <w:tcPr>
            <w:tcW w:w="287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印发《关于对交通运输工程建设领域守信典型企业实施联合激励的合作备忘录》的通知</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发改财金〔</w:t>
            </w:r>
            <w:r>
              <w:rPr>
                <w:rFonts w:hint="default" w:ascii="Times New Roman" w:hAnsi="Times New Roman" w:eastAsia="方正仿宋_GBK" w:cs="Times New Roman"/>
                <w:color w:val="000000"/>
                <w:sz w:val="24"/>
                <w:szCs w:val="24"/>
                <w:u w:val="none"/>
                <w:lang w:val="en-US" w:eastAsia="zh-CN" w:bidi="ar"/>
              </w:rPr>
              <w:t>2018〕377号</w:t>
            </w:r>
          </w:p>
        </w:tc>
        <w:tc>
          <w:tcPr>
            <w:tcW w:w="463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删除第二条第（二）项20中的</w:t>
            </w:r>
            <w:r>
              <w:rPr>
                <w:rFonts w:hint="eastAsia" w:ascii="方正仿宋_GBK" w:hAnsi="方正仿宋_GBK" w:eastAsia="方正仿宋_GBK" w:cs="方正仿宋_GBK"/>
                <w:i w:val="0"/>
                <w:color w:val="000000"/>
                <w:kern w:val="0"/>
                <w:sz w:val="24"/>
                <w:szCs w:val="24"/>
                <w:u w:val="none"/>
                <w:lang w:val="en" w:eastAsia="zh-CN" w:bidi="ar"/>
              </w:rPr>
              <w:t>“</w:t>
            </w:r>
            <w:r>
              <w:rPr>
                <w:rFonts w:hint="default" w:ascii="Times New Roman" w:hAnsi="Times New Roman" w:eastAsia="方正仿宋_GBK" w:cs="Times New Roman"/>
                <w:i w:val="0"/>
                <w:color w:val="000000"/>
                <w:kern w:val="0"/>
                <w:sz w:val="24"/>
                <w:szCs w:val="24"/>
                <w:u w:val="none"/>
                <w:lang w:val="en-US" w:eastAsia="zh-CN" w:bidi="ar"/>
              </w:rPr>
              <w:t>国家重大建设项目稽察、</w:t>
            </w:r>
            <w:r>
              <w:rPr>
                <w:rFonts w:hint="eastAsia" w:ascii="Times New Roman" w:hAnsi="Times New Roman" w:eastAsia="方正仿宋_GBK" w:cs="Times New Roman"/>
                <w:i w:val="0"/>
                <w:color w:val="000000"/>
                <w:kern w:val="0"/>
                <w:sz w:val="24"/>
                <w:szCs w:val="24"/>
                <w:u w:val="none"/>
                <w:lang w:val="en" w:eastAsia="zh-CN" w:bidi="ar"/>
              </w:rPr>
              <w:t>”</w:t>
            </w:r>
          </w:p>
        </w:tc>
        <w:tc>
          <w:tcPr>
            <w:tcW w:w="2241" w:type="dxa"/>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人民银行、交通运输部等36个部门</w:t>
            </w:r>
          </w:p>
        </w:tc>
      </w:tr>
    </w:tbl>
    <w:p>
      <w:pPr>
        <w:rPr>
          <w:rFonts w:hint="eastAsia" w:ascii="仿宋_GB2312" w:hAnsi="仿宋_GB2312" w:eastAsia="仿宋_GB2312" w:cs="仿宋_GB2312"/>
          <w:color w:val="333333"/>
          <w:sz w:val="32"/>
          <w:szCs w:val="32"/>
          <w:shd w:val="clear" w:color="auto" w:fill="FFFFFF"/>
          <w:lang w:val="zh-CN"/>
        </w:rPr>
      </w:pPr>
      <w:bookmarkStart w:id="0" w:name="_GoBack"/>
      <w:bookmarkEnd w:id="0"/>
    </w:p>
    <w:sectPr>
      <w:headerReference r:id="rId3" w:type="default"/>
      <w:footerReference r:id="rId4" w:type="default"/>
      <w:pgSz w:w="16838" w:h="11906" w:orient="landscape"/>
      <w:pgMar w:top="1474" w:right="1962" w:bottom="1474" w:left="1848" w:header="851" w:footer="992" w:gutter="0"/>
      <w:pgNumType w:fmt="numberInDash" w:start="3"/>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7821930</wp:posOffset>
              </wp:positionH>
              <wp:positionV relativeFrom="paragraph">
                <wp:posOffset>-38100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15.9pt;margin-top:-3pt;height:144pt;width:144pt;mso-position-horizontal-relative:margin;mso-wrap-style:none;z-index:251665408;mso-width-relative:page;mso-height-relative:page;" filled="f" stroked="f" coordsize="21600,21600" o:gfxdata="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aYLd9gAAAAMAQAA&#10;DwAAAAAAAAABACAAAAAiAAAAZHJzL2Rvd25yZXYueG1sUEsBAhQAFAAAAAgAh07iQOnEPZ0ZAgAA&#10;IwQAAA4AAAAAAAAAAQAgAAAAJwEAAGRycy9lMm9Eb2MueG1sUEsFBgAAAAAGAAYAWQEAALIFAAAA&#10;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184785</wp:posOffset>
              </wp:positionV>
              <wp:extent cx="8291830" cy="3175"/>
              <wp:effectExtent l="0" t="10795" r="13970" b="14605"/>
              <wp:wrapNone/>
              <wp:docPr id="12" name="直接连接符 12"/>
              <wp:cNvGraphicFramePr/>
              <a:graphic xmlns:a="http://schemas.openxmlformats.org/drawingml/2006/main">
                <a:graphicData uri="http://schemas.microsoft.com/office/word/2010/wordprocessingShape">
                  <wps:wsp>
                    <wps:cNvCnPr/>
                    <wps:spPr>
                      <a:xfrm flipV="1">
                        <a:off x="0" y="0"/>
                        <a:ext cx="8291830" cy="317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5pt;margin-top:14.55pt;height:0.25pt;width:652.9pt;z-index:251664384;mso-width-relative:page;mso-height-relative:page;" filled="f" stroked="t" coordsize="21600,21600" o:gfxdata="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JT5jrYAAAACQEAAA8AAAAA&#10;AAAAAQAgAAAAIgAAAGRycy9kb3ducmV2LnhtbFBLAQIUABQAAAAIAIdO4kDgz8aC2wEAAIEDAAAO&#10;AAAAAAAAAAEAIAAAACcBAABkcnMvZTJvRG9jLnhtbFBLBQYAAAAABgAGAFkBAAB0BQAAAAA=&#10;">
              <v:fill on="f" focussize="0,0"/>
              <v:stroke weight="1.75pt" color="#005192" miterlimit="8" joinstyle="miter"/>
              <v:imagedata o:title=""/>
              <o:lock v:ext="edit" aspectratio="f"/>
            </v:line>
          </w:pict>
        </mc:Fallback>
      </mc:AlternateContent>
    </w:r>
    <w:r>
      <w:rPr>
        <w:rFonts w:hint="eastAsia" w:eastAsia="仿宋"/>
        <w:sz w:val="32"/>
        <w:szCs w:val="48"/>
      </w:rPr>
      <w:t xml:space="preserve">  </w:t>
    </w:r>
  </w:p>
  <w:p>
    <w:pPr>
      <w:pStyle w:val="8"/>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cs="宋体"/>
        <w:b/>
        <w:bCs/>
        <w:color w:val="005192"/>
        <w:sz w:val="28"/>
        <w:szCs w:val="44"/>
      </w:rPr>
    </w:pPr>
    <w:r>
      <w:rPr>
        <w:rFonts w:hint="eastAsia" w:ascii="宋体" w:hAnsi="宋体" w:cs="宋体"/>
        <w:b/>
        <w:bCs/>
        <w:color w:val="005192"/>
        <w:sz w:val="28"/>
        <w:szCs w:val="44"/>
        <w:lang w:eastAsia="zh-CN"/>
      </w:rPr>
      <w:t>中</w:t>
    </w:r>
    <w:r>
      <w:rPr>
        <w:rFonts w:hint="eastAsia" w:ascii="宋体" w:hAnsi="宋体" w:cs="宋体"/>
        <w:b/>
        <w:bCs/>
        <w:color w:val="005192"/>
        <w:sz w:val="28"/>
        <w:szCs w:val="44"/>
      </w:rPr>
      <w:t>华人民共和国国家发展和改革委员会发布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hint="eastAsia" w:ascii="宋体" w:hAnsi="宋体" w:cs="宋体"/>
        <w:b/>
        <w:bCs/>
        <w:color w:val="005192"/>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txbxContent>
              </v:textbox>
            </v:shape>
          </w:pict>
        </mc:Fallback>
      </mc:AlternateContent>
    </w:r>
    <w:r>
      <w:rPr>
        <w:rFonts w:hint="eastAsia" w:ascii="宋体" w:hAnsi="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中华人民共和国国家发展和改革委员会规章</w:t>
    </w:r>
  </w:p>
  <w:p>
    <w:pPr>
      <w:pStyle w:val="8"/>
      <w:keepNext w:val="0"/>
      <w:keepLines w:val="0"/>
      <w:pageBreakBefore w:val="0"/>
      <w:widowControl w:val="0"/>
      <w:kinsoku/>
      <w:wordWrap/>
      <w:overflowPunct/>
      <w:topLinePunct w:val="0"/>
      <w:autoSpaceDE/>
      <w:autoSpaceDN/>
      <w:bidi w:val="0"/>
      <w:adjustRightInd/>
      <w:snapToGrid w:val="0"/>
      <w:spacing w:line="280" w:lineRule="exact"/>
      <w:textAlignment w:val="center"/>
      <w:rPr>
        <w:rFonts w:hint="eastAsia" w:ascii="宋体" w:hAnsi="宋体" w:cs="宋体"/>
        <w:b/>
        <w:bCs/>
        <w:color w:val="005192"/>
        <w:sz w:val="32"/>
        <w:szCs w:val="32"/>
      </w:rPr>
    </w:pPr>
    <w:r>
      <w:rPr>
        <w:rFonts w:ascii="宋体" w:hAnsi="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64770</wp:posOffset>
              </wp:positionV>
              <wp:extent cx="8296275" cy="0"/>
              <wp:effectExtent l="0" t="10795" r="9525" b="17780"/>
              <wp:wrapNone/>
              <wp:docPr id="7" name="直接连接符 7"/>
              <wp:cNvGraphicFramePr/>
              <a:graphic xmlns:a="http://schemas.openxmlformats.org/drawingml/2006/main">
                <a:graphicData uri="http://schemas.microsoft.com/office/word/2010/wordprocessingShape">
                  <wps:wsp>
                    <wps:cNvCnPr/>
                    <wps:spPr>
                      <a:xfrm>
                        <a:off x="4133850" y="864870"/>
                        <a:ext cx="829627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05pt;margin-top:5.1pt;height:0pt;width:653.25pt;z-index:251662336;mso-width-relative:page;mso-height-relative:page;" filled="f" stroked="t" coordsize="21600,21600" o:gfxdata="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WqqSdQAAAAJAQAADwAAAAAA&#10;AAABACAAAAAiAAAAZHJzL2Rvd25yZXYueG1sUEsBAhQAFAAAAAgAh07iQJDUw37eAQAAfQMAAA4A&#10;AAAAAAAAAQAgAAAAIwEAAGRycy9lMm9Eb2MueG1sUEsFBgAAAAAGAAYAWQEAAHMFAAAAAA==&#10;">
              <v:fill on="f" focussize="0,0"/>
              <v:stroke weight="1.75pt" color="#005192"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MDBhODM5Y2NlMTk0ZGE3YzhhNjJmMzg1ZmQ1YjYifQ=="/>
  </w:docVars>
  <w:rsids>
    <w:rsidRoot w:val="00172A27"/>
    <w:rsid w:val="00DE32BE"/>
    <w:rsid w:val="00E26089"/>
    <w:rsid w:val="00EC57B4"/>
    <w:rsid w:val="080715CC"/>
    <w:rsid w:val="0D6D2533"/>
    <w:rsid w:val="112F0B5E"/>
    <w:rsid w:val="151A2973"/>
    <w:rsid w:val="1A7F3A1B"/>
    <w:rsid w:val="1A8E5441"/>
    <w:rsid w:val="1DA03B30"/>
    <w:rsid w:val="203E5C30"/>
    <w:rsid w:val="2C0F12F3"/>
    <w:rsid w:val="2C6971D1"/>
    <w:rsid w:val="3C777B23"/>
    <w:rsid w:val="3FAC4475"/>
    <w:rsid w:val="40387F0A"/>
    <w:rsid w:val="410706B2"/>
    <w:rsid w:val="42F26117"/>
    <w:rsid w:val="568474EC"/>
    <w:rsid w:val="5966320E"/>
    <w:rsid w:val="5C983C5F"/>
    <w:rsid w:val="5DC1707F"/>
    <w:rsid w:val="5E0A2DBB"/>
    <w:rsid w:val="6723369B"/>
    <w:rsid w:val="6CA33C1F"/>
    <w:rsid w:val="6EA75F62"/>
    <w:rsid w:val="76F4131C"/>
    <w:rsid w:val="795F28E5"/>
    <w:rsid w:val="7CD953A4"/>
    <w:rsid w:val="7DFE9575"/>
    <w:rsid w:val="F7FFB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pPr>
      <w:spacing w:after="0" w:line="588" w:lineRule="exact"/>
      <w:ind w:firstLine="200" w:firstLineChars="200"/>
      <w:textAlignment w:val="center"/>
    </w:pPr>
    <w:rPr>
      <w:rFonts w:ascii="Times New Roman" w:hAnsi="Times New Roman" w:eastAsia="方正仿宋_GBK" w:cs="Times New Roman"/>
      <w:kern w:val="0"/>
      <w:sz w:val="30"/>
      <w:szCs w:val="30"/>
    </w:rPr>
  </w:style>
  <w:style w:type="paragraph" w:styleId="4">
    <w:name w:val="Body Text Indent"/>
    <w:basedOn w:val="1"/>
    <w:next w:val="5"/>
    <w:unhideWhenUsed/>
    <w:qFormat/>
    <w:uiPriority w:val="99"/>
    <w:pPr>
      <w:spacing w:after="120" w:afterLines="0" w:afterAutospacing="0"/>
      <w:ind w:left="420" w:leftChars="200"/>
    </w:pPr>
  </w:style>
  <w:style w:type="paragraph" w:styleId="5">
    <w:name w:val="Body Text First Indent 2"/>
    <w:basedOn w:val="4"/>
    <w:next w:val="1"/>
    <w:unhideWhenUsed/>
    <w:qFormat/>
    <w:uiPriority w:val="99"/>
    <w:pPr>
      <w:adjustRightInd w:val="0"/>
      <w:snapToGrid w:val="0"/>
      <w:spacing w:line="440" w:lineRule="atLeast"/>
      <w:ind w:left="0" w:leftChars="0" w:firstLine="420" w:firstLineChars="200"/>
    </w:pPr>
    <w:rPr>
      <w:rFonts w:ascii="Times New Roman" w:hAnsi="Times New Roman"/>
      <w:sz w:val="24"/>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character" w:customStyle="1" w:styleId="13">
    <w:name w:val="批注框文本 Char"/>
    <w:basedOn w:val="10"/>
    <w:link w:val="6"/>
    <w:qFormat/>
    <w:uiPriority w:val="0"/>
    <w:rPr>
      <w:rFonts w:ascii="Calibri" w:hAnsi="Calibri"/>
      <w:kern w:val="2"/>
      <w:sz w:val="18"/>
      <w:szCs w:val="18"/>
    </w:rPr>
  </w:style>
  <w:style w:type="character" w:customStyle="1" w:styleId="14">
    <w:name w:val="font12"/>
    <w:basedOn w:val="10"/>
    <w:qFormat/>
    <w:uiPriority w:val="0"/>
    <w:rPr>
      <w:rFonts w:ascii="方正仿宋_GBK" w:hAnsi="方正仿宋_GBK" w:eastAsia="方正仿宋_GBK" w:cs="方正仿宋_GBK"/>
      <w:color w:val="000000"/>
      <w:sz w:val="24"/>
      <w:szCs w:val="24"/>
      <w:u w:val="none"/>
    </w:rPr>
  </w:style>
  <w:style w:type="character" w:customStyle="1" w:styleId="15">
    <w:name w:val="font91"/>
    <w:basedOn w:val="10"/>
    <w:qFormat/>
    <w:uiPriority w:val="0"/>
    <w:rPr>
      <w:rFonts w:hint="default" w:ascii="Times New Roman" w:hAnsi="Times New Roman" w:cs="Times New Roman"/>
      <w:color w:val="000000"/>
      <w:sz w:val="24"/>
      <w:szCs w:val="24"/>
      <w:u w:val="none"/>
    </w:rPr>
  </w:style>
  <w:style w:type="character" w:customStyle="1" w:styleId="16">
    <w:name w:val="font81"/>
    <w:basedOn w:val="10"/>
    <w:qFormat/>
    <w:uiPriority w:val="0"/>
    <w:rPr>
      <w:rFonts w:hint="eastAsia" w:ascii="方正仿宋_GBK" w:hAnsi="方正仿宋_GBK" w:eastAsia="方正仿宋_GBK" w:cs="方正仿宋_GBK"/>
      <w:color w:val="000000"/>
      <w:sz w:val="24"/>
      <w:szCs w:val="24"/>
      <w:u w:val="none"/>
    </w:rPr>
  </w:style>
  <w:style w:type="character" w:customStyle="1" w:styleId="17">
    <w:name w:val="font71"/>
    <w:basedOn w:val="10"/>
    <w:qFormat/>
    <w:uiPriority w:val="0"/>
    <w:rPr>
      <w:rFonts w:hint="default" w:ascii="Times New Roman" w:hAnsi="Times New Roman" w:cs="Times New Roman"/>
      <w:color w:val="000000"/>
      <w:sz w:val="24"/>
      <w:szCs w:val="24"/>
      <w:u w:val="none"/>
    </w:rPr>
  </w:style>
  <w:style w:type="character" w:customStyle="1" w:styleId="18">
    <w:name w:val="font21"/>
    <w:basedOn w:val="10"/>
    <w:qFormat/>
    <w:uiPriority w:val="0"/>
    <w:rPr>
      <w:rFonts w:hint="default" w:ascii="Times New Roman" w:hAnsi="Times New Roman" w:cs="Times New Roman"/>
      <w:color w:val="000000"/>
      <w:sz w:val="24"/>
      <w:szCs w:val="24"/>
      <w:u w:val="none"/>
    </w:rPr>
  </w:style>
  <w:style w:type="character" w:customStyle="1" w:styleId="19">
    <w:name w:val="font111"/>
    <w:basedOn w:val="10"/>
    <w:qFormat/>
    <w:uiPriority w:val="0"/>
    <w:rPr>
      <w:rFonts w:hint="eastAsia" w:ascii="方正仿宋_GBK" w:hAnsi="方正仿宋_GBK" w:eastAsia="方正仿宋_GBK" w:cs="方正仿宋_GBK"/>
      <w:color w:val="000000"/>
      <w:sz w:val="24"/>
      <w:szCs w:val="24"/>
      <w:u w:val="none"/>
    </w:rPr>
  </w:style>
  <w:style w:type="character" w:customStyle="1" w:styleId="20">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5348</Words>
  <Characters>5826</Characters>
  <Lines>5</Lines>
  <Paragraphs>1</Paragraphs>
  <TotalTime>5</TotalTime>
  <ScaleCrop>false</ScaleCrop>
  <LinksUpToDate>false</LinksUpToDate>
  <CharactersWithSpaces>5835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2021-11-15T21:40:00Z</dcterms:created>
  <dc:creator>Administrator</dc:creator>
  <cp:lastModifiedBy>zhujian</cp:lastModifiedBy>
  <dcterms:modified xsi:type="dcterms:W3CDTF">2023-07-19T09:17:52Z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BA5BD5D5F5634764B9815DA29FA19143</vt:lpwstr>
  </property>
</Properties>
</file>