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0E1CB"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highlight w:val="none"/>
          <w:lang w:eastAsia="zh-CN" w:bidi="ar"/>
        </w:rPr>
        <w:t>附录</w:t>
      </w:r>
    </w:p>
    <w:p w14:paraId="4837A4D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bidi="ar-SA"/>
        </w:rPr>
      </w:pPr>
    </w:p>
    <w:p w14:paraId="76D4719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bidi="ar-SA"/>
        </w:rPr>
        <w:t>名词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highlight w:val="none"/>
          <w:lang w:eastAsia="zh-CN" w:bidi="ar-SA"/>
        </w:rPr>
        <w:t>解释及示例</w:t>
      </w:r>
    </w:p>
    <w:p w14:paraId="0A60BC78">
      <w:pPr>
        <w:spacing w:line="580" w:lineRule="exac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bidi="ar"/>
        </w:rPr>
      </w:pPr>
    </w:p>
    <w:p w14:paraId="215FDF90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一、操作风险事件</w:t>
      </w:r>
    </w:p>
    <w:p w14:paraId="1C0D14E2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操作风险事件是指由操作风险引发，导致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银行保险机构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发生实际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或者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预计损失的事件。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银行保险机构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分别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商业银行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资本监管规则和保险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偿付能力监管规则进行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事件分类。</w:t>
      </w:r>
    </w:p>
    <w:p w14:paraId="691A53AE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二、法律风险</w:t>
      </w:r>
    </w:p>
    <w:p w14:paraId="59A70706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法律风险包括但不限于下列风险：</w:t>
      </w:r>
    </w:p>
    <w:p w14:paraId="75BAB6D5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1.签订的合同因违反法律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行政法规可能被依法撤销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确认无效；</w:t>
      </w:r>
    </w:p>
    <w:p w14:paraId="0D6F6AC0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2.因违约、侵权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其他事由被提起诉讼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申请仲裁，依法可能承担赔偿责任；</w:t>
      </w:r>
    </w:p>
    <w:p w14:paraId="23E90775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3.业务、管理活动违反法律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法规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或者监管规定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，依法可能承担刑事责任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或者行政责任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 w14:paraId="4F764BB4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三、运营韧性</w:t>
      </w:r>
    </w:p>
    <w:p w14:paraId="15D2259D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运营韧性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是在发生重大风险和外部事件时，银行保险机构具备的持续提供关键业务和服务的能力。例如，在发生大规模网络攻击、大规模传染病、自然灾害等事件时，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银行保险机构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通过运营韧性管理机制，能够持续向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客户提供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存取款、转账、理赔等关键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服务。</w:t>
      </w:r>
    </w:p>
    <w:p w14:paraId="14C52402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四、操作风险管理报告</w:t>
      </w:r>
    </w:p>
    <w:p w14:paraId="1B8E263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条、第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规定的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操作风险管理报告以及第三十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条规定的操作风险管理情况可以是专项报告，也可以是包括操作风险管理内容的全面风险报告等综合性报告。</w:t>
      </w:r>
    </w:p>
    <w:p w14:paraId="022ECC80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五、操作风险类监测指标</w:t>
      </w:r>
    </w:p>
    <w:p w14:paraId="675B809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九条规定的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操作风险类监测指标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包括案件风险率和操作风险损失率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。国家金融监督管理总局及其派出机构可以视情形决定，是否确定对特定机构的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操作风险类监测指标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 w14:paraId="6696C3F6"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（一）指标计算公式</w:t>
      </w:r>
    </w:p>
    <w:p w14:paraId="486667B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案件风险率=业内案件涉案金额/年初总资产和年末总资产的平均数×100%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。国家金融监督管理总局对于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稽查检查和案件管理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制度另有规定的，则从其规定。</w:t>
      </w:r>
    </w:p>
    <w:p w14:paraId="1A6AEE7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操作风险损失率=操作风险损失事件的损失金额总和/近三年平均营业收入×100%</w:t>
      </w:r>
    </w:p>
    <w:p w14:paraId="3460751F"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（二）案件风险率</w:t>
      </w:r>
    </w:p>
    <w:p w14:paraId="76BD139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案件风险率应当保持在监测目标值的合理区间。监测目标值公式为：</w:t>
      </w:r>
    </w:p>
    <w:p w14:paraId="7C3F059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S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t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＝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S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s＋ε</w:t>
      </w:r>
    </w:p>
    <w:p w14:paraId="14803E1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S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t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为案件风险率监测目标值；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S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s为案件风险率基准值，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由监管部门根据同类型机构一定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的案件风险率、特定机构一定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的案件风险率，并具体选取时间范围、赋值适当权重后确定。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ε为案件风险率调值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，由监管部门裁量确定，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主要影响因素包括公司治理和激励约束机制、反洗钱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管情况、风险事件演变情况、内部管理和控制情况、境外机构合规风险事件情况等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22EF5C1C"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操作风险损失率</w:t>
      </w:r>
    </w:p>
    <w:p w14:paraId="14E2DDA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操作风险损失率应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保持在监测目标值的合理区间。监测目标值公式为：</w:t>
      </w:r>
    </w:p>
    <w:p w14:paraId="33A555F3"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t＝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s＋ε</w:t>
      </w:r>
    </w:p>
    <w:p w14:paraId="636003A7"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L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t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为操作风险损失率监测目标值；Ls为操作风险损失率基准值，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监管部门根据同类型机构一定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操作风险损失率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、特定机构一定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eastAsia="zh-CN"/>
        </w:rPr>
        <w:t>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操作风险损失率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，并具体选取时间范围、赋值适当权重后确定。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ε为操作风险损失率调整值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，由监管部门裁量确定，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主要影响因素包括操作风险内部管理和控制情况、操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风险损失事件数据管理情况、相关事件数量和金额变化情况、经济金融周期因素等。</w:t>
      </w:r>
    </w:p>
    <w:p w14:paraId="41FB6466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六、风险偏好传导机制</w:t>
      </w:r>
    </w:p>
    <w:p w14:paraId="3E2F7D2B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十九条规定的风险偏好传导机制，是指银行保险机构根据风险偏好设定容忍度或者风险限额等，并对境内外附属机构、分支机构或者业务条线等提出相应要求，如对全行（公司）、各附属机构、各分行（分公司）、各业务条线设定操作风险损失率、操作风险事件数量、信息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可用率等指标或者目标值，并进行持续监测、预警和纠偏。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信息系统服务可用率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=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信息系统计划服务时间-非预期停止服务时间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/计划服务时间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</w:rPr>
        <w:t>100%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</w:p>
    <w:p w14:paraId="404C8A63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七、考核评价指标</w:t>
      </w:r>
    </w:p>
    <w:p w14:paraId="7BC9FFE5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第二十二条规定的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考核评价指标，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应当兼顾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操作风险管理过程和结果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设置过程类指标和结果类指标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例如，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操作风险损失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属于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结果类指标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可根据损失率的高低进行评分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。操作风险事件报告评分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属于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过程类指标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，可根据事件是否迟报瞒报、填报信息是否规范、重大事件是否按照要求单独分析等进行评分。</w:t>
      </w:r>
    </w:p>
    <w:p w14:paraId="1807D765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、固有风险、剩余风险</w:t>
      </w:r>
    </w:p>
    <w:p w14:paraId="03A753D4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第二十五条规定的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固有风险是指在没有考虑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控制、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缓释措施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或者在其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付诸实施之前就已经存在的风险。剩余风险是指现有的风险控制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缓释措施不能消除的风险。</w:t>
      </w:r>
    </w:p>
    <w:p w14:paraId="5CDAE1BF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本条所指固有风险与保险公司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偿付能力监管规则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不一致，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偿付能力监管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规则中的固有风险是指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在现有正常保险行业物质技术条件和生产组织方式下，保险公司在经营和管理活动中必然存在的、客观的偿付能力相关风险。</w:t>
      </w:r>
    </w:p>
    <w:p w14:paraId="41FC7D8C">
      <w:pPr>
        <w:pStyle w:val="3"/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、操作风险等级</w:t>
      </w:r>
    </w:p>
    <w:p w14:paraId="143C521C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第二十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规定的操作风险等级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由银行保险机构自行划分。例如，通常可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划分为三个等级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发生可能性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（频率）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低、影响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（损失）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程度低的，风险等级为低；发生可能性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（频率）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高、影响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（损失）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程度低的，风险等级为中；发生可能性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（频率）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低、影响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（损失）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程度高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发生可能性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（频率）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高、影响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（损失）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程度高的，风险等级为高。</w:t>
      </w:r>
    </w:p>
    <w:p w14:paraId="2F6AAB08">
      <w:pPr>
        <w:pStyle w:val="3"/>
        <w:widowControl w:val="0"/>
        <w:spacing w:line="580" w:lineRule="exact"/>
        <w:ind w:firstLine="72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十、缓释操作风险</w:t>
      </w:r>
    </w:p>
    <w:p w14:paraId="34D4521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第二十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规定的购买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是指，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银行保险机构通过购买保险，在自然灾害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意外事故导致形成实物资产损失时，获得保险赔付，收回部分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全部损失，有效缓释风险。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其中，保险公司向本机构和关联机构购买保险不属于有效缓释风险。</w:t>
      </w:r>
    </w:p>
    <w:p w14:paraId="5E378832">
      <w:pPr>
        <w:pStyle w:val="3"/>
        <w:widowControl w:val="0"/>
        <w:spacing w:line="58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操作风险损失数据库、操作风险自评估、关键风险指标</w:t>
      </w:r>
    </w:p>
    <w:p w14:paraId="7A4B551F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第三十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条规定的操作风险损失数据库、操作风险自评估、关键风险指标是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银行保险机构用于管理操作风险的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基础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工具。</w:t>
      </w:r>
    </w:p>
    <w:p w14:paraId="771EE249">
      <w:pPr>
        <w:pStyle w:val="3"/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80" w:lineRule="exact"/>
        <w:ind w:left="720" w:right="0" w:firstLine="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（一）操作风险损失数据库</w:t>
      </w:r>
    </w:p>
    <w:p w14:paraId="6C6C5C3C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操作风险损失数据库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保险公司偿付能力监管规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则称为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操作风险损失事件库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是指按统一的操作风险分类标准，收集汇总相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操作风险事件信息。操作风险损失数据库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结合管理需要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收集一定金额以上的操作风险事件信息，收集范围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至少包括内部损失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，必要时可收集几近损失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和外部损失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1C479D9"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内部损失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事件是指，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形成实际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预计财务损失的操作风险事件，包括通过保险及其他手段收回部分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全部损失的操作风险事件，以及与信用风险、市场风险等其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风险相关的操作风险事件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4EDC63CA"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几近损失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事件是指，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事件已发生，但未造成实际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预计的财务损失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例如，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银行保险机构因过错造成客户损失，有可能被索赔，但因及时采取补救措施弥补了客户损失，客户谅解并未进行索赔。</w:t>
      </w:r>
    </w:p>
    <w:p w14:paraId="4096135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外部损失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事件是指，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业内其他金融机构出现的大额监管处罚、案件等操作风险事件。</w:t>
      </w:r>
    </w:p>
    <w:p w14:paraId="34C6F9F7">
      <w:pPr>
        <w:numPr>
          <w:ilvl w:val="0"/>
          <w:numId w:val="2"/>
        </w:numPr>
        <w:spacing w:line="580" w:lineRule="exact"/>
        <w:ind w:left="30" w:firstLine="600" w:firstLineChars="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操作风险自评估</w:t>
      </w:r>
    </w:p>
    <w:p w14:paraId="662DBE9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操作风险自评估是指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识别业务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产品及管理活动中的固有操作风险，分析控制措施有效性，确定剩余操作风险，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操作风险等级。</w:t>
      </w:r>
    </w:p>
    <w:p w14:paraId="41225D9D">
      <w:pPr>
        <w:numPr>
          <w:ilvl w:val="0"/>
          <w:numId w:val="2"/>
        </w:numPr>
        <w:spacing w:line="580" w:lineRule="exact"/>
        <w:ind w:left="30" w:firstLine="600" w:firstLineChars="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关键风险指标</w:t>
      </w:r>
    </w:p>
    <w:p w14:paraId="01107E60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关键风险指标是指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依据操作风险识别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评估结果，设定相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指标，全面反映机构的操作风险敞口、控制措施有效性及风险变化趋势等情况，并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具有一定前瞻性。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例如，从人员、系统、外部事件等维度制定业内案件数量、业外案件涉案金额等作为关键风险指标并设定阈值。</w:t>
      </w:r>
    </w:p>
    <w:p w14:paraId="7CE0C415">
      <w:pPr>
        <w:pStyle w:val="3"/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7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十二、事件管理、控制监测和保证框架、情景分析、基准比较分析</w:t>
      </w:r>
    </w:p>
    <w:p w14:paraId="13A6280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第三十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条规定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的可以选择运用的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操作风险管理工具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，包括：</w:t>
      </w:r>
    </w:p>
    <w:p w14:paraId="021D0CCE">
      <w:pPr>
        <w:pStyle w:val="3"/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580" w:lineRule="exact"/>
        <w:ind w:left="720" w:right="0" w:firstLine="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事件管理</w:t>
      </w:r>
    </w:p>
    <w:p w14:paraId="10DED699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事件管理是指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对新发生的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对管理有较大影响的操作风险事件进行分析，识别风险成因、评估控制缺陷，并制定控制优化方案，防止类似事件再次发生。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例如，发生操作风险事件后，要求第一道防线开展事件调查分析，查清业务或者管理存在的问题并进行整改。</w:t>
      </w:r>
    </w:p>
    <w:p w14:paraId="3567FA43">
      <w:pPr>
        <w:pStyle w:val="3"/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580" w:lineRule="exact"/>
        <w:ind w:left="720" w:right="0" w:firstLine="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控制监测和保证框架</w:t>
      </w:r>
    </w:p>
    <w:p w14:paraId="5D2770C1">
      <w:pPr>
        <w:pStyle w:val="3"/>
        <w:widowControl w:val="0"/>
        <w:numPr>
          <w:ilvl w:val="0"/>
          <w:numId w:val="0"/>
        </w:numPr>
        <w:spacing w:line="580" w:lineRule="exact"/>
        <w:ind w:lef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控制监测和保证框架是指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对操作风险自评估等工具识别的关键控制措施进行持续分析、动态优化，确保关键控制措施的有效性。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例如，利用控制监测和保证框架对关键控制措施进行评估、重检、持续监测和验证。</w:t>
      </w:r>
    </w:p>
    <w:p w14:paraId="01D464DD">
      <w:pPr>
        <w:pStyle w:val="3"/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580" w:lineRule="exact"/>
        <w:ind w:left="720" w:right="0" w:firstLine="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情景分析</w:t>
      </w:r>
    </w:p>
    <w:p w14:paraId="1F6834CA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情景分析是指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对假设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识别、分析和计量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。情景可以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包括发生可能性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（频率）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程度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（损失）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的事件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5C6FDBAD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情景分析的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基本假设可以引用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操作风险损失数据库、操作风险自评估、关键风险指标、控制监测和保证框架等工具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获取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数据信息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运用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情景分析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可发现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潜在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影响和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风险管理的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效果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并可对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风险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进行完善。</w:t>
      </w:r>
    </w:p>
    <w:p w14:paraId="6D4A1F6E"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情景分析可以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与恢复与处置计划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，用于测试运营韧性。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例如，假设银行保险机构发生数据中心无法运行也无法恢复、必须由异地灾备中心接替的情景，具体运用专家判断评估可能造成的损失和影响，制定业务恢复的优先顺序和恢复时间等目标，分析需要配置的资源保障。</w:t>
      </w:r>
    </w:p>
    <w:p w14:paraId="1890C682">
      <w:pPr>
        <w:pStyle w:val="3"/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580" w:lineRule="exact"/>
        <w:ind w:left="720" w:right="0" w:firstLine="0"/>
        <w:jc w:val="both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基准比较分析</w:t>
      </w:r>
    </w:p>
    <w:p w14:paraId="2D45E47A">
      <w:pPr>
        <w:spacing w:line="580" w:lineRule="exact"/>
        <w:ind w:firstLineChars="20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基准比较分析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一方面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是指将内外部监督检查结果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同业操作风险状况与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本机构的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操作风险识别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评估结果进行比对，对于偏离度较大的，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重启操作风险识别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评估工作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另一方面是指操作风险管理工具之间互相验证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操作风险损失数据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操作风险自评估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结果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进行比较,确定管理工具是否有效运行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F61625"/>
    <w:multiLevelType w:val="singleLevel"/>
    <w:tmpl w:val="A9F6162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87B7248"/>
    <w:multiLevelType w:val="singleLevel"/>
    <w:tmpl w:val="E87B7248"/>
    <w:lvl w:ilvl="0" w:tentative="0">
      <w:start w:val="2"/>
      <w:numFmt w:val="chineseCounting"/>
      <w:suff w:val="nothing"/>
      <w:lvlText w:val="（%1）"/>
      <w:lvlJc w:val="left"/>
      <w:pPr>
        <w:ind w:left="30"/>
      </w:pPr>
      <w:rPr>
        <w:rFonts w:hint="eastAsia"/>
      </w:rPr>
    </w:lvl>
  </w:abstractNum>
  <w:abstractNum w:abstractNumId="2">
    <w:nsid w:val="3EAF7ADA"/>
    <w:multiLevelType w:val="singleLevel"/>
    <w:tmpl w:val="3EAF7AD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jhlOTQ1NzVmNTJlZWE3ZGJhMDhjOGE2NDk5NzAifQ=="/>
  </w:docVars>
  <w:rsids>
    <w:rsidRoot w:val="00000000"/>
    <w:rsid w:val="0167300B"/>
    <w:rsid w:val="04FD027A"/>
    <w:rsid w:val="1CA45002"/>
    <w:rsid w:val="1CE473A1"/>
    <w:rsid w:val="1EC8798F"/>
    <w:rsid w:val="29095A1B"/>
    <w:rsid w:val="343E5561"/>
    <w:rsid w:val="37F2770B"/>
    <w:rsid w:val="483E23BA"/>
    <w:rsid w:val="56E74FAA"/>
    <w:rsid w:val="6D6E503D"/>
    <w:rsid w:val="72801393"/>
    <w:rsid w:val="76D2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2021-11-10T06:02:00Z</dcterms:created>
  <dc:creator>Admin</dc:creator>
  <cp:lastModifiedBy>王薄荷</cp:lastModifiedBy>
  <dcterms:modified xsi:type="dcterms:W3CDTF">2024-09-18T02:39:46Z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98AF38B524B04A68833B85270EC37D95</vt:lpwstr>
  </property>
</Properties>
</file>