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B9B6534">
      <w:pPr>
        <w:pStyle w:val="13"/>
        <w:spacing w:line="560" w:lineRule="exact"/>
        <w:jc w:val="both"/>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附件1</w:t>
      </w:r>
    </w:p>
    <w:p w14:paraId="275312D8">
      <w:pPr>
        <w:spacing w:line="560" w:lineRule="exact"/>
        <w:ind w:left="146"/>
        <w:rPr>
          <w:rFonts w:ascii="仿宋_GB2312" w:hAnsi="仿宋_GB2312" w:eastAsia="仿宋_GB2312" w:cs="仿宋_GB2312"/>
          <w:sz w:val="32"/>
          <w:szCs w:val="32"/>
        </w:rPr>
      </w:pPr>
    </w:p>
    <w:p w14:paraId="761AE3E0">
      <w:pPr>
        <w:spacing w:line="560" w:lineRule="exact"/>
        <w:ind w:left="146"/>
        <w:jc w:val="center"/>
        <w:rPr>
          <w:rFonts w:hint="eastAsia" w:ascii="方正小标宋简体" w:hAnsi="黑体" w:eastAsia="方正小标宋简体" w:cs="黑体"/>
          <w:sz w:val="36"/>
          <w:szCs w:val="36"/>
        </w:rPr>
      </w:pPr>
      <w:r>
        <w:rPr>
          <w:rFonts w:hint="eastAsia" w:ascii="方正小标宋简体" w:hAnsi="黑体" w:eastAsia="方正小标宋简体" w:cs="黑体"/>
          <w:sz w:val="36"/>
          <w:szCs w:val="36"/>
        </w:rPr>
        <w:t>代理支库业务申请书</w:t>
      </w:r>
    </w:p>
    <w:p w14:paraId="6D720DC4">
      <w:pPr>
        <w:spacing w:line="560" w:lineRule="exact"/>
        <w:rPr>
          <w:sz w:val="32"/>
          <w:szCs w:val="32"/>
        </w:rPr>
      </w:pPr>
    </w:p>
    <w:p w14:paraId="15BDDDA4">
      <w:pPr>
        <w:spacing w:line="560" w:lineRule="exact"/>
        <w:ind w:left="37"/>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中</w:t>
      </w:r>
      <w:r>
        <w:rPr>
          <w:rFonts w:hint="eastAsia" w:ascii="仿宋_GB2312" w:hAnsi="仿宋_GB2312" w:eastAsia="仿宋_GB2312" w:cs="仿宋_GB2312"/>
          <w:spacing w:val="6"/>
          <w:sz w:val="32"/>
          <w:szCs w:val="32"/>
        </w:rPr>
        <w:t>国</w:t>
      </w:r>
      <w:r>
        <w:rPr>
          <w:rFonts w:hint="eastAsia" w:ascii="仿宋_GB2312" w:hAnsi="仿宋_GB2312" w:eastAsia="仿宋_GB2312" w:cs="仿宋_GB2312"/>
          <w:spacing w:val="4"/>
          <w:sz w:val="32"/>
          <w:szCs w:val="32"/>
        </w:rPr>
        <w:t>人民银行</w:t>
      </w:r>
      <w:r>
        <w:rPr>
          <w:rFonts w:hint="eastAsia" w:ascii="仿宋_GB2312" w:hAnsi="仿宋_GB2312" w:eastAsia="仿宋_GB2312" w:cs="仿宋_GB2312"/>
          <w:spacing w:val="4"/>
          <w:sz w:val="32"/>
          <w:szCs w:val="32"/>
          <w:u w:val="single"/>
        </w:rPr>
        <w:t xml:space="preserve">        </w:t>
      </w:r>
      <w:r>
        <w:rPr>
          <w:rFonts w:hint="eastAsia" w:ascii="仿宋_GB2312" w:hAnsi="仿宋_GB2312" w:eastAsia="仿宋_GB2312" w:cs="仿宋_GB2312"/>
          <w:spacing w:val="4"/>
          <w:sz w:val="32"/>
          <w:szCs w:val="32"/>
        </w:rPr>
        <w:t>分行：</w:t>
      </w:r>
    </w:p>
    <w:p w14:paraId="13E5208D">
      <w:pPr>
        <w:spacing w:line="560" w:lineRule="exact"/>
        <w:ind w:firstLine="708" w:firstLineChars="200"/>
        <w:rPr>
          <w:rFonts w:hint="eastAsia" w:ascii="仿宋_GB2312" w:hAnsi="仿宋_GB2312" w:eastAsia="仿宋_GB2312" w:cs="仿宋_GB2312"/>
          <w:sz w:val="32"/>
          <w:szCs w:val="32"/>
        </w:rPr>
      </w:pPr>
      <w:r>
        <w:rPr>
          <w:rFonts w:hint="eastAsia" w:ascii="仿宋_GB2312" w:hAnsi="仿宋_GB2312" w:eastAsia="仿宋_GB2312" w:cs="仿宋_GB2312"/>
          <w:spacing w:val="17"/>
          <w:sz w:val="32"/>
          <w:szCs w:val="32"/>
        </w:rPr>
        <w:t>我</w:t>
      </w:r>
      <w:r>
        <w:rPr>
          <w:rFonts w:hint="eastAsia" w:ascii="仿宋_GB2312" w:hAnsi="仿宋_GB2312" w:eastAsia="仿宋_GB2312" w:cs="仿宋_GB2312"/>
          <w:spacing w:val="9"/>
          <w:sz w:val="32"/>
          <w:szCs w:val="32"/>
        </w:rPr>
        <w:t>行</w:t>
      </w:r>
      <w:r>
        <w:rPr>
          <w:rFonts w:ascii="仿宋_GB2312" w:hAnsi="仿宋_GB2312" w:eastAsia="仿宋_GB2312" w:cs="仿宋_GB2312"/>
          <w:spacing w:val="9"/>
          <w:sz w:val="32"/>
          <w:szCs w:val="32"/>
        </w:rPr>
        <w:t>（社）</w:t>
      </w:r>
      <w:r>
        <w:rPr>
          <w:rFonts w:hint="eastAsia" w:ascii="仿宋_GB2312" w:hAnsi="仿宋_GB2312" w:eastAsia="仿宋_GB2312" w:cs="仿宋_GB2312"/>
          <w:spacing w:val="9"/>
          <w:sz w:val="32"/>
          <w:szCs w:val="32"/>
        </w:rPr>
        <w:t>是经</w:t>
      </w:r>
      <w:r>
        <w:rPr>
          <w:rFonts w:hint="eastAsia" w:ascii="仿宋_GB2312" w:hAnsi="仿宋_GB2312" w:eastAsia="仿宋_GB2312" w:cs="仿宋_GB2312"/>
          <w:spacing w:val="9"/>
          <w:sz w:val="32"/>
          <w:szCs w:val="32"/>
          <w:u w:val="single"/>
        </w:rPr>
        <w:t xml:space="preserve">                        </w:t>
      </w:r>
      <w:r>
        <w:rPr>
          <w:rFonts w:hint="eastAsia" w:ascii="仿宋_GB2312" w:hAnsi="仿宋_GB2312" w:eastAsia="仿宋_GB2312" w:cs="仿宋_GB2312"/>
          <w:spacing w:val="9"/>
          <w:sz w:val="32"/>
          <w:szCs w:val="32"/>
        </w:rPr>
        <w:t>批准设立的金融</w:t>
      </w:r>
      <w:r>
        <w:rPr>
          <w:rFonts w:hint="eastAsia" w:ascii="仿宋_GB2312" w:hAnsi="仿宋_GB2312" w:eastAsia="仿宋_GB2312" w:cs="仿宋_GB2312"/>
          <w:spacing w:val="28"/>
          <w:sz w:val="32"/>
          <w:szCs w:val="32"/>
        </w:rPr>
        <w:t>机</w:t>
      </w:r>
      <w:r>
        <w:rPr>
          <w:rFonts w:hint="eastAsia" w:ascii="仿宋_GB2312" w:hAnsi="仿宋_GB2312" w:eastAsia="仿宋_GB2312" w:cs="仿宋_GB2312"/>
          <w:spacing w:val="17"/>
          <w:sz w:val="32"/>
          <w:szCs w:val="32"/>
        </w:rPr>
        <w:t>构</w:t>
      </w:r>
      <w:r>
        <w:rPr>
          <w:rFonts w:hint="eastAsia" w:ascii="仿宋_GB2312" w:hAnsi="仿宋_GB2312" w:eastAsia="仿宋_GB2312" w:cs="仿宋_GB2312"/>
          <w:spacing w:val="9"/>
          <w:sz w:val="32"/>
          <w:szCs w:val="32"/>
        </w:rPr>
        <w:t>（金融许可证代码为</w:t>
      </w:r>
      <w:r>
        <w:rPr>
          <w:rFonts w:hint="eastAsia" w:ascii="仿宋_GB2312" w:hAnsi="仿宋_GB2312" w:eastAsia="仿宋_GB2312" w:cs="仿宋_GB2312"/>
          <w:spacing w:val="9"/>
          <w:sz w:val="32"/>
          <w:szCs w:val="32"/>
          <w:u w:val="single"/>
        </w:rPr>
        <w:t xml:space="preserve">                </w:t>
      </w:r>
      <w:r>
        <w:rPr>
          <w:rFonts w:hint="eastAsia" w:ascii="仿宋_GB2312" w:hAnsi="仿宋_GB2312" w:eastAsia="仿宋_GB2312" w:cs="仿宋_GB2312"/>
          <w:spacing w:val="9"/>
          <w:sz w:val="32"/>
          <w:szCs w:val="32"/>
        </w:rPr>
        <w:t>、单位统一社会信用代码为</w:t>
      </w:r>
      <w:r>
        <w:rPr>
          <w:rFonts w:hint="eastAsia" w:ascii="仿宋_GB2312" w:hAnsi="仿宋_GB2312" w:eastAsia="仿宋_GB2312" w:cs="仿宋_GB2312"/>
          <w:spacing w:val="9"/>
          <w:sz w:val="32"/>
          <w:szCs w:val="32"/>
          <w:u w:val="single"/>
        </w:rPr>
        <w:t xml:space="preserve">                </w:t>
      </w:r>
      <w:r>
        <w:rPr>
          <w:rFonts w:hint="eastAsia" w:ascii="仿宋_GB2312" w:hAnsi="仿宋_GB2312" w:eastAsia="仿宋_GB2312" w:cs="仿宋_GB2312"/>
          <w:spacing w:val="9"/>
          <w:sz w:val="32"/>
          <w:szCs w:val="32"/>
        </w:rPr>
        <w:t>）</w:t>
      </w:r>
      <w:r>
        <w:rPr>
          <w:rFonts w:hint="eastAsia" w:ascii="仿宋_GB2312" w:hAnsi="仿宋_GB2312" w:eastAsia="仿宋_GB2312" w:cs="仿宋_GB2312"/>
          <w:spacing w:val="14"/>
          <w:sz w:val="32"/>
          <w:szCs w:val="32"/>
        </w:rPr>
        <w:t>，具有良好的信誉和经营业绩、健全的内控制度、畅通的资金结算渠道，</w:t>
      </w:r>
      <w:r>
        <w:rPr>
          <w:rFonts w:hint="eastAsia" w:ascii="仿宋_GB2312" w:hAnsi="仿宋_GB2312" w:eastAsia="仿宋_GB2312" w:cs="仿宋_GB2312"/>
          <w:spacing w:val="16"/>
          <w:sz w:val="32"/>
          <w:szCs w:val="32"/>
        </w:rPr>
        <w:t>特</w:t>
      </w:r>
      <w:r>
        <w:rPr>
          <w:rFonts w:hint="eastAsia" w:ascii="仿宋_GB2312" w:hAnsi="仿宋_GB2312" w:eastAsia="仿宋_GB2312" w:cs="仿宋_GB2312"/>
          <w:spacing w:val="11"/>
          <w:sz w:val="32"/>
          <w:szCs w:val="32"/>
        </w:rPr>
        <w:t>向</w:t>
      </w:r>
      <w:r>
        <w:rPr>
          <w:rFonts w:hint="eastAsia" w:ascii="仿宋_GB2312" w:hAnsi="仿宋_GB2312" w:eastAsia="仿宋_GB2312" w:cs="仿宋_GB2312"/>
          <w:spacing w:val="8"/>
          <w:sz w:val="32"/>
          <w:szCs w:val="32"/>
        </w:rPr>
        <w:t>你行申请国家金库</w:t>
      </w:r>
      <w:r>
        <w:rPr>
          <w:rFonts w:hint="eastAsia" w:ascii="仿宋_GB2312" w:hAnsi="仿宋_GB2312" w:eastAsia="仿宋_GB2312" w:cs="仿宋_GB2312"/>
          <w:spacing w:val="9"/>
          <w:sz w:val="32"/>
          <w:szCs w:val="32"/>
          <w:u w:val="single"/>
        </w:rPr>
        <w:t xml:space="preserve">    市   区</w:t>
      </w:r>
      <w:r>
        <w:rPr>
          <w:rFonts w:hint="eastAsia" w:ascii="仿宋_GB2312" w:hAnsi="仿宋_GB2312" w:eastAsia="仿宋_GB2312" w:cs="仿宋_GB2312"/>
          <w:spacing w:val="8"/>
          <w:sz w:val="32"/>
          <w:szCs w:val="32"/>
          <w:u w:val="single"/>
        </w:rPr>
        <w:t>/县（市）支库的</w:t>
      </w:r>
      <w:r>
        <w:rPr>
          <w:rFonts w:hint="eastAsia" w:ascii="仿宋_GB2312" w:hAnsi="仿宋_GB2312" w:eastAsia="仿宋_GB2312" w:cs="仿宋_GB2312"/>
          <w:spacing w:val="8"/>
          <w:sz w:val="32"/>
          <w:szCs w:val="32"/>
        </w:rPr>
        <w:t>代理资格。现将相关情况报告如下（包括但不限于以下情况）：</w:t>
      </w:r>
    </w:p>
    <w:p w14:paraId="78BEDD7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一、基本情况。包括申请人所在地域、机构网点覆盖情况，拟设国库业务部门等情况</w:t>
      </w:r>
      <w:r>
        <w:rPr>
          <w:rFonts w:ascii="仿宋_GB2312" w:hAnsi="仿宋_GB2312" w:eastAsia="仿宋_GB2312" w:cs="仿宋_GB2312"/>
          <w:sz w:val="32"/>
          <w:szCs w:val="32"/>
        </w:rPr>
        <w:t>。</w:t>
      </w:r>
    </w:p>
    <w:p w14:paraId="71B69CD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二、岗位设置及人员配备情况。</w:t>
      </w:r>
      <w:r>
        <w:rPr>
          <w:rFonts w:hint="eastAsia" w:ascii="仿宋_GB2312" w:hAnsi="仿宋_GB2312" w:eastAsia="仿宋_GB2312" w:cs="仿宋_GB2312"/>
          <w:spacing w:val="14"/>
          <w:sz w:val="32"/>
          <w:szCs w:val="32"/>
        </w:rPr>
        <w:t>包括拟设代理支库主任及副主任、国库部门负责人、会计主管和专兼职人员等</w:t>
      </w:r>
      <w:r>
        <w:rPr>
          <w:rFonts w:hint="eastAsia" w:ascii="仿宋_GB2312" w:hAnsi="仿宋_GB2312" w:eastAsia="仿宋_GB2312" w:cs="仿宋_GB2312"/>
          <w:sz w:val="32"/>
          <w:szCs w:val="32"/>
        </w:rPr>
        <w:t>；申请人上一级行的国库业务主管部门设置、职责及管理人员配备等情况。</w:t>
      </w:r>
    </w:p>
    <w:p w14:paraId="3F4894C5">
      <w:pPr>
        <w:spacing w:line="560" w:lineRule="exact"/>
        <w:ind w:firstLine="696" w:firstLineChars="200"/>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三、</w:t>
      </w:r>
      <w:r>
        <w:rPr>
          <w:rFonts w:hint="eastAsia" w:ascii="仿宋_GB2312" w:hAnsi="仿宋_GB2312" w:eastAsia="仿宋_GB2312" w:cs="仿宋_GB2312"/>
          <w:sz w:val="32"/>
          <w:szCs w:val="32"/>
          <w:shd w:val="clear" w:color="auto" w:fill="FFFFFF"/>
        </w:rPr>
        <w:t>内控管理</w:t>
      </w:r>
      <w:r>
        <w:rPr>
          <w:rFonts w:ascii="仿宋_GB2312" w:hAnsi="仿宋_GB2312" w:eastAsia="仿宋_GB2312" w:cs="仿宋_GB2312"/>
          <w:spacing w:val="14"/>
          <w:sz w:val="32"/>
          <w:szCs w:val="32"/>
        </w:rPr>
        <w:t>情况</w:t>
      </w:r>
      <w:r>
        <w:rPr>
          <w:rFonts w:hint="eastAsia" w:ascii="仿宋_GB2312" w:hAnsi="仿宋_GB2312" w:eastAsia="仿宋_GB2312" w:cs="仿宋_GB2312"/>
          <w:spacing w:val="14"/>
          <w:sz w:val="32"/>
          <w:szCs w:val="32"/>
        </w:rPr>
        <w:t>。</w:t>
      </w:r>
      <w:r>
        <w:rPr>
          <w:rFonts w:ascii="仿宋_GB2312" w:hAnsi="仿宋_GB2312" w:eastAsia="仿宋_GB2312" w:cs="仿宋_GB2312"/>
          <w:spacing w:val="14"/>
          <w:sz w:val="32"/>
          <w:szCs w:val="32"/>
        </w:rPr>
        <w:t>包括</w:t>
      </w:r>
      <w:r>
        <w:rPr>
          <w:rFonts w:hint="eastAsia" w:ascii="仿宋_GB2312" w:hAnsi="仿宋_GB2312" w:eastAsia="仿宋_GB2312" w:cs="仿宋_GB2312"/>
          <w:spacing w:val="14"/>
          <w:sz w:val="32"/>
          <w:szCs w:val="32"/>
        </w:rPr>
        <w:t>国库业务</w:t>
      </w:r>
      <w:r>
        <w:rPr>
          <w:rFonts w:hint="eastAsia" w:ascii="仿宋_GB2312" w:hAnsi="仿宋_GB2312" w:eastAsia="仿宋_GB2312" w:cs="仿宋_GB2312"/>
          <w:sz w:val="32"/>
          <w:szCs w:val="32"/>
        </w:rPr>
        <w:t>制度建设与执行情况，资金风险防范措施，相关业务培训和档案管理等情况。</w:t>
      </w:r>
    </w:p>
    <w:p w14:paraId="2C59601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四、信息系统建设情况。</w:t>
      </w:r>
      <w:r>
        <w:rPr>
          <w:rFonts w:ascii="仿宋_GB2312" w:hAnsi="仿宋_GB2312" w:eastAsia="仿宋_GB2312" w:cs="仿宋_GB2312"/>
          <w:sz w:val="32"/>
          <w:szCs w:val="32"/>
        </w:rPr>
        <w:t>包括</w:t>
      </w:r>
      <w:r>
        <w:rPr>
          <w:rFonts w:hint="eastAsia" w:ascii="仿宋_GB2312" w:hAnsi="仿宋_GB2312" w:eastAsia="仿宋_GB2312" w:cs="仿宋_GB2312"/>
          <w:sz w:val="32"/>
          <w:szCs w:val="32"/>
        </w:rPr>
        <w:t>与国库业务有关的信息系统和内部网络建设情况，获准代理后接入及使用中国人民银行国库部门统一规范的数据系统计划</w:t>
      </w:r>
      <w:r>
        <w:rPr>
          <w:rFonts w:ascii="仿宋_GB2312" w:hAnsi="仿宋_GB2312" w:eastAsia="仿宋_GB2312" w:cs="仿宋_GB2312"/>
          <w:sz w:val="32"/>
          <w:szCs w:val="32"/>
        </w:rPr>
        <w:t>等情况</w:t>
      </w:r>
      <w:r>
        <w:rPr>
          <w:rFonts w:hint="eastAsia" w:ascii="仿宋_GB2312" w:hAnsi="仿宋_GB2312" w:eastAsia="仿宋_GB2312" w:cs="仿宋_GB2312"/>
          <w:sz w:val="32"/>
          <w:szCs w:val="32"/>
        </w:rPr>
        <w:t>。</w:t>
      </w:r>
    </w:p>
    <w:p w14:paraId="702C578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五、资金结算系统支持情况。</w:t>
      </w:r>
      <w:r>
        <w:rPr>
          <w:rFonts w:ascii="仿宋_GB2312" w:hAnsi="仿宋_GB2312" w:eastAsia="仿宋_GB2312" w:cs="仿宋_GB2312"/>
          <w:sz w:val="32"/>
          <w:szCs w:val="32"/>
        </w:rPr>
        <w:t>包括</w:t>
      </w:r>
      <w:r>
        <w:rPr>
          <w:rFonts w:hint="eastAsia" w:ascii="仿宋_GB2312" w:hAnsi="仿宋_GB2312" w:eastAsia="仿宋_GB2312" w:cs="仿宋_GB2312"/>
          <w:sz w:val="32"/>
          <w:szCs w:val="32"/>
        </w:rPr>
        <w:t>与国库业务相关的资金结算信息系统建设、软硬件配备、运维和保障</w:t>
      </w:r>
      <w:r>
        <w:rPr>
          <w:rFonts w:ascii="仿宋_GB2312" w:hAnsi="仿宋_GB2312" w:eastAsia="仿宋_GB2312" w:cs="仿宋_GB2312"/>
          <w:sz w:val="32"/>
          <w:szCs w:val="32"/>
        </w:rPr>
        <w:t>等</w:t>
      </w:r>
      <w:r>
        <w:rPr>
          <w:rFonts w:hint="eastAsia" w:ascii="仿宋_GB2312" w:hAnsi="仿宋_GB2312" w:eastAsia="仿宋_GB2312" w:cs="仿宋_GB2312"/>
          <w:sz w:val="32"/>
          <w:szCs w:val="32"/>
        </w:rPr>
        <w:t>情况。</w:t>
      </w:r>
    </w:p>
    <w:p w14:paraId="11147464">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六</w:t>
      </w:r>
      <w:r>
        <w:rPr>
          <w:rFonts w:hint="eastAsia" w:ascii="仿宋_GB2312" w:hAnsi="仿宋_GB2312" w:eastAsia="仿宋_GB2312" w:cs="仿宋_GB2312"/>
          <w:sz w:val="32"/>
          <w:szCs w:val="32"/>
        </w:rPr>
        <w:t>、其他信息。</w:t>
      </w:r>
      <w:r>
        <w:rPr>
          <w:rFonts w:ascii="仿宋_GB2312" w:hAnsi="仿宋_GB2312" w:eastAsia="仿宋_GB2312" w:cs="仿宋_GB2312"/>
          <w:sz w:val="32"/>
          <w:szCs w:val="32"/>
        </w:rPr>
        <w:t>包括：</w:t>
      </w:r>
      <w:r>
        <w:rPr>
          <w:rFonts w:hint="eastAsia" w:ascii="仿宋_GB2312" w:hAnsi="仿宋_GB2312" w:eastAsia="仿宋_GB2312" w:cs="仿宋_GB2312"/>
          <w:sz w:val="32"/>
          <w:szCs w:val="32"/>
        </w:rPr>
        <w:t>申请人</w:t>
      </w:r>
      <w:r>
        <w:rPr>
          <w:rFonts w:ascii="仿宋_GB2312" w:hAnsi="仿宋_GB2312" w:eastAsia="仿宋_GB2312" w:cs="仿宋_GB2312"/>
          <w:sz w:val="32"/>
          <w:szCs w:val="32"/>
        </w:rPr>
        <w:t>代理国库相关业务开展情况，包括代理支库、代理乡镇国库、代理</w:t>
      </w:r>
      <w:r>
        <w:rPr>
          <w:rFonts w:hint="eastAsia" w:ascii="仿宋_GB2312" w:hAnsi="仿宋_GB2312" w:eastAsia="仿宋_GB2312" w:cs="仿宋_GB2312"/>
          <w:sz w:val="32"/>
          <w:szCs w:val="32"/>
        </w:rPr>
        <w:t>国库经收</w:t>
      </w:r>
      <w:r>
        <w:rPr>
          <w:rFonts w:ascii="仿宋_GB2312" w:hAnsi="仿宋_GB2312" w:eastAsia="仿宋_GB2312" w:cs="仿宋_GB2312"/>
          <w:sz w:val="32"/>
          <w:szCs w:val="32"/>
        </w:rPr>
        <w:t>处</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代理国库</w:t>
      </w:r>
      <w:r>
        <w:rPr>
          <w:rFonts w:hint="eastAsia" w:ascii="仿宋_GB2312" w:hAnsi="仿宋_GB2312" w:eastAsia="仿宋_GB2312" w:cs="仿宋_GB2312"/>
          <w:sz w:val="32"/>
          <w:szCs w:val="32"/>
        </w:rPr>
        <w:t>集中收付</w:t>
      </w:r>
      <w:r>
        <w:rPr>
          <w:rFonts w:ascii="仿宋_GB2312" w:hAnsi="仿宋_GB2312" w:eastAsia="仿宋_GB2312" w:cs="仿宋_GB2312"/>
          <w:sz w:val="32"/>
          <w:szCs w:val="32"/>
        </w:rPr>
        <w:t>、代理储蓄国债发行兑付、参与国库现金管理等业务；</w:t>
      </w:r>
      <w:r>
        <w:rPr>
          <w:rFonts w:hint="eastAsia" w:ascii="仿宋_GB2312" w:hAnsi="仿宋_GB2312" w:eastAsia="仿宋_GB2312" w:cs="仿宋_GB2312"/>
          <w:sz w:val="32"/>
          <w:szCs w:val="32"/>
        </w:rPr>
        <w:t>申请时前</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年内是否存在代理国库相关业务的违法违规行为，以</w:t>
      </w:r>
      <w:r>
        <w:rPr>
          <w:rFonts w:ascii="仿宋_GB2312" w:hAnsi="仿宋_GB2312" w:eastAsia="仿宋_GB2312" w:cs="仿宋_GB2312"/>
          <w:sz w:val="32"/>
          <w:szCs w:val="32"/>
        </w:rPr>
        <w:t>及整改情况等。</w:t>
      </w:r>
    </w:p>
    <w:p w14:paraId="5EFEC9CC">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七</w:t>
      </w:r>
      <w:r>
        <w:rPr>
          <w:rFonts w:hint="eastAsia" w:ascii="仿宋_GB2312" w:hAnsi="仿宋_GB2312" w:eastAsia="仿宋_GB2312" w:cs="仿宋_GB2312"/>
          <w:sz w:val="32"/>
          <w:szCs w:val="32"/>
        </w:rPr>
        <w:t>、服务承诺。</w:t>
      </w:r>
      <w:r>
        <w:rPr>
          <w:rFonts w:ascii="仿宋_GB2312" w:hAnsi="仿宋_GB2312" w:eastAsia="仿宋_GB2312" w:cs="仿宋_GB2312"/>
          <w:sz w:val="32"/>
          <w:szCs w:val="32"/>
        </w:rPr>
        <w:t>包括</w:t>
      </w:r>
      <w:r>
        <w:rPr>
          <w:rFonts w:hint="eastAsia" w:ascii="仿宋_GB2312" w:hAnsi="仿宋_GB2312" w:eastAsia="仿宋_GB2312" w:cs="仿宋_GB2312"/>
          <w:sz w:val="32"/>
          <w:szCs w:val="32"/>
        </w:rPr>
        <w:t>承诺获准代理后，执行国库业务相关制度规定，依法依规开展代理支库工作</w:t>
      </w:r>
      <w:r>
        <w:rPr>
          <w:rFonts w:ascii="仿宋_GB2312" w:hAnsi="仿宋_GB2312" w:eastAsia="仿宋_GB2312" w:cs="仿宋_GB2312"/>
          <w:sz w:val="32"/>
          <w:szCs w:val="32"/>
        </w:rPr>
        <w:t>等。</w:t>
      </w:r>
    </w:p>
    <w:p w14:paraId="3DAA4AED">
      <w:pPr>
        <w:spacing w:line="560" w:lineRule="exact"/>
        <w:ind w:firstLine="640" w:firstLineChars="200"/>
        <w:jc w:val="right"/>
        <w:rPr>
          <w:rFonts w:hint="eastAsia" w:ascii="仿宋_GB2312" w:hAnsi="仿宋_GB2312" w:eastAsia="仿宋_GB2312" w:cs="仿宋_GB2312"/>
          <w:kern w:val="0"/>
          <w:sz w:val="32"/>
          <w:szCs w:val="32"/>
          <w:u w:val="single"/>
        </w:rPr>
      </w:pPr>
    </w:p>
    <w:p w14:paraId="2A567DCC">
      <w:pPr>
        <w:spacing w:line="560" w:lineRule="exact"/>
        <w:ind w:firstLine="640" w:firstLineChars="200"/>
        <w:jc w:val="right"/>
        <w:rPr>
          <w:rFonts w:hint="eastAsia" w:ascii="仿宋_GB2312" w:hAnsi="仿宋_GB2312" w:eastAsia="仿宋_GB2312" w:cs="仿宋_GB2312"/>
          <w:kern w:val="0"/>
          <w:sz w:val="32"/>
          <w:szCs w:val="32"/>
          <w:u w:val="single"/>
        </w:rPr>
      </w:pPr>
    </w:p>
    <w:p w14:paraId="2594046E">
      <w:pPr>
        <w:spacing w:line="56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申请人：_</w:t>
      </w:r>
      <w:r>
        <w:rPr>
          <w:rFonts w:ascii="仿宋_GB2312" w:hAnsi="仿宋_GB2312" w:eastAsia="仿宋_GB2312" w:cs="仿宋_GB2312"/>
          <w:kern w:val="0"/>
          <w:sz w:val="32"/>
          <w:szCs w:val="32"/>
        </w:rPr>
        <w:t>____________</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公章</w:t>
      </w:r>
      <w:r>
        <w:rPr>
          <w:rFonts w:hint="eastAsia" w:ascii="仿宋_GB2312" w:hAnsi="仿宋_GB2312" w:eastAsia="仿宋_GB2312" w:cs="仿宋_GB2312"/>
          <w:sz w:val="32"/>
          <w:szCs w:val="32"/>
        </w:rPr>
        <w:t>）</w:t>
      </w:r>
    </w:p>
    <w:p w14:paraId="33EE998A">
      <w:pPr>
        <w:spacing w:line="56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年    月    日</w:t>
      </w:r>
    </w:p>
    <w:p w14:paraId="05048419">
      <w:pPr>
        <w:spacing w:line="560" w:lineRule="exact"/>
        <w:rPr>
          <w:sz w:val="32"/>
          <w:szCs w:val="32"/>
        </w:rPr>
      </w:pPr>
    </w:p>
    <w:p w14:paraId="53179143">
      <w:pPr>
        <w:pStyle w:val="13"/>
        <w:spacing w:line="560" w:lineRule="exact"/>
        <w:jc w:val="both"/>
        <w:rPr>
          <w:rFonts w:ascii="仿宋_GB2312" w:hAnsi="仿宋_GB2312" w:eastAsia="仿宋_GB2312" w:cs="仿宋_GB2312"/>
          <w:sz w:val="32"/>
          <w:szCs w:val="32"/>
          <w:shd w:val="clear" w:color="auto" w:fill="FFFFFF"/>
        </w:rPr>
      </w:pPr>
    </w:p>
    <w:p w14:paraId="4C49C5DA">
      <w:pPr>
        <w:pStyle w:val="13"/>
        <w:spacing w:line="560" w:lineRule="exact"/>
        <w:jc w:val="both"/>
        <w:rPr>
          <w:rFonts w:ascii="仿宋_GB2312" w:hAnsi="仿宋_GB2312" w:eastAsia="仿宋_GB2312" w:cs="仿宋_GB2312"/>
          <w:sz w:val="32"/>
          <w:szCs w:val="32"/>
          <w:shd w:val="clear" w:color="auto" w:fill="FFFFFF"/>
        </w:rPr>
      </w:pPr>
    </w:p>
    <w:p w14:paraId="5E0A1F5E">
      <w:pPr>
        <w:pStyle w:val="13"/>
        <w:spacing w:line="560" w:lineRule="exact"/>
        <w:jc w:val="both"/>
        <w:rPr>
          <w:rFonts w:ascii="仿宋_GB2312" w:hAnsi="仿宋_GB2312" w:eastAsia="仿宋_GB2312" w:cs="仿宋_GB2312"/>
          <w:sz w:val="32"/>
          <w:szCs w:val="32"/>
          <w:shd w:val="clear" w:color="auto" w:fill="FFFFFF"/>
        </w:rPr>
      </w:pPr>
    </w:p>
    <w:p w14:paraId="2151D89E">
      <w:pPr>
        <w:spacing w:line="240" w:lineRule="exact"/>
        <w:rPr>
          <w:rFonts w:hint="eastAsia" w:ascii="仿宋_GB2312" w:eastAsia="仿宋_GB2312"/>
          <w:sz w:val="32"/>
          <w:szCs w:val="32"/>
        </w:rPr>
      </w:pPr>
      <w:bookmarkStart w:id="0" w:name="_GoBack"/>
      <w:bookmarkEnd w:id="0"/>
    </w:p>
    <w:sectPr>
      <w:footerReference r:id="rId3" w:type="default"/>
      <w:footerReference r:id="rId4" w:type="even"/>
      <w:endnotePr>
        <w:numFmt w:val="decimal"/>
      </w:endnotePr>
      <w:pgSz w:w="11906" w:h="16838"/>
      <w:pgMar w:top="1587" w:right="1474" w:bottom="1587"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swiss"/>
    <w:pitch w:val="default"/>
    <w:sig w:usb0="00000000" w:usb1="00000000" w:usb2="0000003F" w:usb3="00000000" w:csb0="003F01F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2279E">
    <w:pPr>
      <w:pStyle w:val="4"/>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F22DEC">
                          <w:pPr>
                            <w:pStyle w:val="4"/>
                          </w:pPr>
                          <w:r>
                            <w:fldChar w:fldCharType="begin"/>
                          </w:r>
                          <w:r>
                            <w:instrText xml:space="preserve"> PAGE  \* MERGEFORMAT </w:instrText>
                          </w:r>
                          <w:r>
                            <w:fldChar w:fldCharType="separate"/>
                          </w:r>
                          <w:r>
                            <w:t>- 13 -</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14:paraId="77F22DEC">
                    <w:pPr>
                      <w:pStyle w:val="4"/>
                    </w:pPr>
                    <w:r>
                      <w:fldChar w:fldCharType="begin"/>
                    </w:r>
                    <w:r>
                      <w:instrText xml:space="preserve"> PAGE  \* MERGEFORMAT </w:instrText>
                    </w:r>
                    <w:r>
                      <w:fldChar w:fldCharType="separate"/>
                    </w:r>
                    <w:r>
                      <w:t>- 13 -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2A54E">
    <w:pPr>
      <w:pStyle w:val="4"/>
      <w:framePr w:wrap="around" w:vAnchor="text" w:hAnchor="margin" w:xAlign="right" w:y="1"/>
      <w:rPr>
        <w:rStyle w:val="10"/>
      </w:rPr>
    </w:pPr>
    <w:r>
      <w:fldChar w:fldCharType="begin"/>
    </w:r>
    <w:r>
      <w:rPr>
        <w:rStyle w:val="10"/>
      </w:rPr>
      <w:instrText xml:space="preserve">PAGE  </w:instrText>
    </w:r>
    <w:r>
      <w:fldChar w:fldCharType="separate"/>
    </w:r>
    <w:r>
      <w:rPr>
        <w:rStyle w:val="10"/>
      </w:rPr>
      <w:t>2</w:t>
    </w:r>
    <w:r>
      <w:fldChar w:fldCharType="end"/>
    </w:r>
  </w:p>
  <w:p w14:paraId="70ABD4B4">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09F"/>
    <w:rsid w:val="00115A99"/>
    <w:rsid w:val="002437C7"/>
    <w:rsid w:val="006149B9"/>
    <w:rsid w:val="006B720B"/>
    <w:rsid w:val="0093209F"/>
    <w:rsid w:val="00994942"/>
    <w:rsid w:val="00A83D66"/>
    <w:rsid w:val="00C136D1"/>
    <w:rsid w:val="0B3F7539"/>
    <w:rsid w:val="0EFD7D88"/>
    <w:rsid w:val="1CB7E60C"/>
    <w:rsid w:val="33FF1ACE"/>
    <w:rsid w:val="379C258B"/>
    <w:rsid w:val="3E9D938A"/>
    <w:rsid w:val="3FFA5156"/>
    <w:rsid w:val="435965C4"/>
    <w:rsid w:val="4C5F5617"/>
    <w:rsid w:val="57E7A4A6"/>
    <w:rsid w:val="5DF72261"/>
    <w:rsid w:val="658E2BCE"/>
    <w:rsid w:val="695F3D65"/>
    <w:rsid w:val="6AB35689"/>
    <w:rsid w:val="6BCF1539"/>
    <w:rsid w:val="6FF1EBBB"/>
    <w:rsid w:val="704F66A6"/>
    <w:rsid w:val="76FFF38C"/>
    <w:rsid w:val="7779997F"/>
    <w:rsid w:val="77B79A29"/>
    <w:rsid w:val="7A9DD25C"/>
    <w:rsid w:val="7AFFB3E9"/>
    <w:rsid w:val="7BDB2000"/>
    <w:rsid w:val="7BFE0CC6"/>
    <w:rsid w:val="7F016E33"/>
    <w:rsid w:val="7F9BD303"/>
    <w:rsid w:val="7FAFBC16"/>
    <w:rsid w:val="7FF6B703"/>
    <w:rsid w:val="7FFDA266"/>
    <w:rsid w:val="7FFF4691"/>
    <w:rsid w:val="7FFF7C0B"/>
    <w:rsid w:val="7FFFDD20"/>
    <w:rsid w:val="8FDE0714"/>
    <w:rsid w:val="9EFE43C3"/>
    <w:rsid w:val="9FEDC61C"/>
    <w:rsid w:val="A50F6BFB"/>
    <w:rsid w:val="ABF7AE40"/>
    <w:rsid w:val="BAFBF475"/>
    <w:rsid w:val="BEFFA82B"/>
    <w:rsid w:val="BFAECFB5"/>
    <w:rsid w:val="BFDFFA00"/>
    <w:rsid w:val="CC17B4BB"/>
    <w:rsid w:val="CC4F6EFE"/>
    <w:rsid w:val="CEDB9025"/>
    <w:rsid w:val="D65DAE4C"/>
    <w:rsid w:val="DDBFE2AE"/>
    <w:rsid w:val="DF7D09E0"/>
    <w:rsid w:val="DF97305B"/>
    <w:rsid w:val="E5F76DF1"/>
    <w:rsid w:val="EBFFCB45"/>
    <w:rsid w:val="F4ED0E3C"/>
    <w:rsid w:val="F56FFEDE"/>
    <w:rsid w:val="F7B72A09"/>
    <w:rsid w:val="F7EEE6EB"/>
    <w:rsid w:val="FABEAB6A"/>
    <w:rsid w:val="FAFF159D"/>
    <w:rsid w:val="FB55A385"/>
    <w:rsid w:val="FBFC107D"/>
    <w:rsid w:val="FDFFF944"/>
    <w:rsid w:val="FEFB11E1"/>
    <w:rsid w:val="FF3C40BC"/>
    <w:rsid w:val="FFF71C58"/>
    <w:rsid w:val="FFFE3160"/>
    <w:rsid w:val="FFFEDEFF"/>
    <w:rsid w:val="FFFF168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723" w:semiHidden="0" w:name="Default Paragraph Font"/>
    <w:lsdException w:unhideWhenUsed="0" w:uiPriority="0" w:semiHidden="0" w:name="Body Text"/>
    <w:lsdException w:unhideWhenUsed="0" w:uiPriority="1624"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Lines="0" w:beforeAutospacing="0" w:after="0" w:afterLines="0" w:afterAutospacing="0"/>
      <w:jc w:val="left"/>
      <w:outlineLvl w:val="0"/>
    </w:pPr>
    <w:rPr>
      <w:rFonts w:hint="eastAsia" w:ascii="宋体" w:hAnsi="宋体" w:eastAsia="宋体" w:cs="宋体"/>
      <w:b/>
      <w:kern w:val="44"/>
      <w:sz w:val="48"/>
      <w:szCs w:val="48"/>
      <w:lang w:val="en-US" w:eastAsia="zh-CN"/>
    </w:rPr>
  </w:style>
  <w:style w:type="character" w:default="1" w:styleId="8">
    <w:name w:val="Default Paragraph Font"/>
    <w:uiPriority w:val="1723"/>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uiPriority w:val="1624"/>
    <w:pPr>
      <w:adjustRightInd w:val="0"/>
      <w:snapToGrid w:val="0"/>
      <w:spacing w:line="600" w:lineRule="exact"/>
      <w:ind w:firstLine="640" w:firstLineChars="200"/>
    </w:pPr>
    <w:rPr>
      <w:rFonts w:ascii="仿宋_GB2312" w:eastAsia="仿宋_GB2312"/>
      <w:sz w:val="32"/>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0"/>
    <w:rPr>
      <w:b/>
    </w:rPr>
  </w:style>
  <w:style w:type="character" w:styleId="10">
    <w:name w:val="page number"/>
    <w:basedOn w:val="8"/>
    <w:uiPriority w:val="0"/>
  </w:style>
  <w:style w:type="character" w:styleId="11">
    <w:name w:val="Hyperlink"/>
    <w:qFormat/>
    <w:uiPriority w:val="0"/>
    <w:rPr>
      <w:color w:val="005C81"/>
      <w:u w:val="none"/>
    </w:rPr>
  </w:style>
  <w:style w:type="paragraph" w:customStyle="1" w:styleId="12">
    <w:name w:val="xl70"/>
    <w:basedOn w:val="1"/>
    <w:uiPriority w:val="3"/>
    <w:pPr>
      <w:widowControl/>
      <w:pBdr>
        <w:bottom w:val="single" w:color="auto" w:sz="4" w:space="0"/>
      </w:pBdr>
      <w:spacing w:before="100" w:beforeAutospacing="1" w:after="100" w:afterAutospacing="1"/>
      <w:jc w:val="center"/>
      <w:textAlignment w:val="center"/>
    </w:pPr>
    <w:rPr>
      <w:rFonts w:hint="eastAsia" w:ascii="仿宋_GB2312" w:hAnsi="Arial Unicode MS" w:eastAsia="仿宋_GB2312"/>
      <w:sz w:val="24"/>
      <w:szCs w:val="20"/>
    </w:rPr>
  </w:style>
  <w:style w:type="paragraph" w:customStyle="1" w:styleId="13">
    <w:name w:val="普通(网站)1"/>
    <w:basedOn w:val="1"/>
    <w:qFormat/>
    <w:uiPriority w:val="0"/>
    <w:pPr>
      <w:jc w:val="left"/>
    </w:pPr>
    <w:rPr>
      <w:kern w:val="0"/>
      <w:sz w:val="24"/>
    </w:rPr>
  </w:style>
  <w:style w:type="paragraph" w:styleId="14">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1041</Words>
  <Characters>1063</Characters>
  <Lines>42</Lines>
  <Paragraphs>11</Paragraphs>
  <TotalTime>2</TotalTime>
  <ScaleCrop>false</ScaleCrop>
  <LinksUpToDate>false</LinksUpToDate>
  <CharactersWithSpaces>1337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2025-10-15T03:29:00Z</dcterms:created>
  <dc:creator>pbc</dc:creator>
  <cp:lastModifiedBy>朱剑</cp:lastModifiedBy>
  <cp:lastPrinted>2025-10-15T01:11:00Z</cp:lastPrinted>
  <dcterms:modified xsi:type="dcterms:W3CDTF">2025-12-18T01:56:48Z</dcterms:modified>
  <dc:title>中国人民银行令</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E903963013A0495F8A0049355D90E1B9_13</vt:lpwstr>
  </property>
  <property fmtid="{D5CDD505-2E9C-101B-9397-08002B2CF9AE}" pid="4" name="KSOTemplateDocerSaveRecord">
    <vt:lpwstr>eyJoZGlkIjoiODY0Yjg4MjlkNjYyOWRmNjgwODkzYzQyNmUzNjFkODQiLCJ1c2VySWQiOiI1MDM0MjkxMDkifQ==</vt:lpwstr>
  </property>
</Properties>
</file>