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黑体" w:hAnsi="黑体" w:eastAsia="黑体" w:cs="黑体"/>
          <w:b w:val="0"/>
          <w:bCs/>
          <w:i w:val="0"/>
          <w:color w:val="000000"/>
          <w:kern w:val="0"/>
          <w:sz w:val="28"/>
          <w:szCs w:val="28"/>
          <w:u w:val="none"/>
          <w:lang w:val="en-US" w:eastAsia="zh-CN" w:bidi="ar"/>
        </w:rPr>
      </w:pPr>
      <w:bookmarkStart w:id="0" w:name="_GoBack"/>
      <w:bookmarkEnd w:id="0"/>
      <w:r>
        <w:rPr>
          <w:rFonts w:hint="eastAsia" w:ascii="黑体" w:hAnsi="黑体" w:eastAsia="黑体" w:cs="黑体"/>
          <w:b w:val="0"/>
          <w:bCs/>
          <w:i w:val="0"/>
          <w:color w:val="000000"/>
          <w:kern w:val="0"/>
          <w:sz w:val="28"/>
          <w:szCs w:val="28"/>
          <w:u w:val="none"/>
          <w:lang w:val="en-US" w:eastAsia="zh-CN" w:bidi="ar"/>
        </w:rPr>
        <w:t>附件</w:t>
      </w:r>
    </w:p>
    <w:tbl>
      <w:tblPr>
        <w:tblStyle w:val="3"/>
        <w:tblW w:w="83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8"/>
        <w:gridCol w:w="600"/>
        <w:gridCol w:w="1680"/>
        <w:gridCol w:w="4185"/>
        <w:gridCol w:w="60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8323" w:type="dxa"/>
            <w:gridSpan w:val="6"/>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i w:val="0"/>
                <w:color w:val="000000"/>
                <w:kern w:val="0"/>
                <w:sz w:val="36"/>
                <w:szCs w:val="36"/>
                <w:u w:val="none"/>
                <w:lang w:val="en-US" w:eastAsia="zh-CN" w:bidi="ar"/>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调整由中国 (广东) 自由贸易试验区各片区管委会</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i w:val="0"/>
                <w:color w:val="000000"/>
                <w:kern w:val="0"/>
                <w:sz w:val="36"/>
                <w:szCs w:val="36"/>
                <w:u w:val="none"/>
                <w:lang w:val="en-US" w:eastAsia="zh-CN" w:bidi="ar"/>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实施的第三批省级管理权限目录(共68项）</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i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权限类别</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实施主体</w:t>
            </w:r>
          </w:p>
        </w:tc>
        <w:tc>
          <w:tcPr>
            <w:tcW w:w="4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省级管理权限名称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调整方式</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调整实施的片区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4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4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省发展改革委</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企业投资分布式燃气发电项目核准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省发展改革委</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省管权限中型水库、水闸、供水工程项目审批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省发展改革委</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《广东省定价目录》中只涉及本辖区范围的定价项目管理权限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前海蛇口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省工业和信息化厅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组织实施对辖区享受税收优惠政策软件企业和集成电路设计企业的核查</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省工业和信息化厅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出具产生无线电波辐射的工程设施选址定点的评估意见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省工业和信息化厅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出具需要电磁环境特殊保护项目的工程选址的评估意见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省工业和信息化厅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出具可能影响大型无线电台（站）功能发挥的建设项目选址的评估意见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省工业和信息化厅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销售无线电发射设备备案</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省工业和信息化厅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制定需要电磁环境特殊保护项目的保护措施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省司法厅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律师事务所（分所）设立、变更、注销许可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省司法厅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律师执业、变更、注销许可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省司法厅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香港、澳门永久性居民中的中国居民申请在内地从事律师职业许可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省司法厅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台湾居民申请在大陆从事律师职业许可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权限类别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实施主体</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省级管理权限名称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调整方式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调整实施的片区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省司法厅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司法鉴定机构及其分支机构设立、变更、注销登记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省司法厅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司法鉴定人执业、变更、注销登记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省司法厅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香港、澳门律师事务所与内地律师事务所联营核准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5"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省司法厅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港澳律师事务所驻内地代表机构设立、变更、注销许可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5"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省司法厅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司法鉴定机构有《司法鉴定机构登记管理办法》第三十九条规定情形之一的行政处罚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省司法厅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司法鉴定人有《司法鉴定人登记管理办法》第二十九规定情形之一的行政处罚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省司法厅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公司律师执业审核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省司法厅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律师事务所（分所）执业许可证书补证、换证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省司法厅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律师执业证书补证、换证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省人力资源</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社会保障厅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建筑工程、交通工程专业的高级职称评审权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5"/>
                <w:lang w:val="en-US" w:eastAsia="zh-CN" w:bidi="ar"/>
              </w:rPr>
              <w:t>南沙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省人力资源</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社会保障厅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省属和中央驻粤单位集体合同备案</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省自然资源厅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国家和省批准、核准的建设项目（跨地级以上市项目除外）规划选址意见书核发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省自然资源厅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省管填海项目竣工验收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省生态环境厅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建设项目环境影响评价文件审批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省住房城乡建设厅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房地产开发企业二级资质核准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省住房城乡建设厅审核（省人民政府批准）</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古树名木迁移审核审批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5"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省住房城乡建设厅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建设工程设计乙级资质（涉及铁路、交通、水利、信息产业、民航、海洋等方面除外）核准，建设工程勘察乙级资质核准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权限类别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实施主体</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省级管理权限名称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调整方式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调整实施的片区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省住房城乡建设厅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房屋建筑和市政基础设施工程竣工验收备案</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省住房城乡建设厅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房地产估价机构备案</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省住房城乡建设厅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房地产估价机构分支机构备案</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省交通运输厅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占用、挖掘省管高速公路审批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前海蛇口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省交通运输厅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在省管公路增设或改造平面交叉道口审批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前海蛇口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4"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省交通运输厅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省管权限地方投资（不含国高网项目和跨地级以上市项目）公路工程施工许可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省交通运输厅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装卸管理人员资格认可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前海蛇口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5"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省水利厅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市辖区内不涉及跨市级行政区划的生产建设项目水土保持方案审批（不含中央立项项目）</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省农业农村厅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饲料生产许可证核发（单一饲料、浓缩饲料、配合饲料、精料补充料）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前海蛇口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省农业农村厅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饲料添加剂（不含混合型饲料添加剂）产品批准文号核发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前海蛇口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省农业农村厅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复混肥、配方肥（不含叶面肥）、精制有机肥、床土调酸剂的登记审批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前海蛇口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省农业农村厅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省管权限渔船渔业船网工具指标审批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省农业农村厅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海洋大型拖网、围网作业的渔业捕捞许可证核发（不含涉外渔业）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省农业农村厅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远洋渔业船舶登记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前海蛇口、横琴  </w:t>
            </w:r>
            <w:r>
              <w:rPr>
                <w:rStyle w:val="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省农业农村厅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省管渔业船舶船员证书签发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省农业农村厅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专项捕捞许可证（拖虾、拖贝、鳗苗）审核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省农业农村厅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港澳流动渔船（含大型船）渔业捕捞许可证审批发证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省农业农村厅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省管权限的港澳流动渔船渔业船网工具指标审批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0"/>
                <w:szCs w:val="20"/>
                <w:u w:val="none"/>
                <w:lang w:val="en-US" w:eastAsia="zh-CN" w:bidi="ar"/>
              </w:rPr>
              <w:t>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权限类别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实施主体</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省级管理权限名称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调整方式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0"/>
                <w:szCs w:val="20"/>
                <w:u w:val="none"/>
                <w:lang w:val="en-US" w:eastAsia="zh-CN" w:bidi="ar"/>
              </w:rPr>
            </w:pPr>
            <w:r>
              <w:rPr>
                <w:rFonts w:hint="eastAsia" w:ascii="黑体" w:hAnsi="黑体" w:eastAsia="黑体" w:cs="黑体"/>
                <w:b w:val="0"/>
                <w:bCs/>
                <w:i w:val="0"/>
                <w:color w:val="000000"/>
                <w:kern w:val="0"/>
                <w:sz w:val="22"/>
                <w:szCs w:val="22"/>
                <w:u w:val="none"/>
                <w:lang w:val="en-US" w:eastAsia="zh-CN" w:bidi="ar"/>
              </w:rPr>
              <w:t>调整实施的片区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省农业农村厅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港澳流动渔船（含大型船）渔业捕捞许可证年审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省商务厅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二手车交易市场经营者备案</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省文化和旅游厅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导游证核准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省文化和旅游厅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省级文物保护单位建设控制地带内的建设工程设计方案审核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省卫生健康委</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涉及饮用水卫生安全产品卫生许可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前海蛇口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省卫生健康委</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消毒产品生产企业（一次性使用医疗用品的生产企业除外）卫生许可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前海蛇口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省卫生健康委</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遗传病诊断、产前诊断等方面的母婴保健技术服务执业许可证核发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省卫生健康委</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放射卫生技术服务机构资质认定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省卫生健康委</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省管权限的放射诊疗许可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行政确认</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省卫生健康委</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病媒生物预防控制服务机构公示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前海蛇口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 </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省卫生健康委</w:t>
            </w:r>
          </w:p>
        </w:tc>
        <w:tc>
          <w:tcPr>
            <w:tcW w:w="4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《医疗广告审查证明》（含中医医疗广告）核发</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省中医药局</w:t>
            </w:r>
          </w:p>
        </w:tc>
        <w:tc>
          <w:tcPr>
            <w:tcW w:w="4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 </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省卫生健康委</w:t>
            </w:r>
          </w:p>
        </w:tc>
        <w:tc>
          <w:tcPr>
            <w:tcW w:w="4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省管权限医疗机构内医师执业证书核发（含中医类别医疗机构内的医师）</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省中医药局</w:t>
            </w:r>
          </w:p>
        </w:tc>
        <w:tc>
          <w:tcPr>
            <w:tcW w:w="4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 </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省卫生健康委</w:t>
            </w:r>
          </w:p>
        </w:tc>
        <w:tc>
          <w:tcPr>
            <w:tcW w:w="4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省管权限内的医疗机构设置审批和执业许可（含中医）</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省中医药局</w:t>
            </w:r>
          </w:p>
        </w:tc>
        <w:tc>
          <w:tcPr>
            <w:tcW w:w="4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省新闻出版局</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从事音像制品、电子出版物复制业务及其变更事项审批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省市场监管局</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特种设备作业人员考核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省市场监管局</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专利代理师违反《专利代理条例》规定的行政处罚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省市场监管局</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专利代理机构违反《专利代理条例》规定的行政处罚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省市场监管局</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对专利代理机构与专利代理师进行执业监督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省市场监管局</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指导中介机构（辖区专利代理机构日常管理）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省林业局</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建设工程使用林地审核（属于国家林业和草原局审核权限的，仍逐级报送国家林业和草原局审核）</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南沙、前海蛇口、横琴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23" w:type="dxa"/>
            <w:gridSpan w:val="6"/>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注：类别中的“其他”是指行政许可、行政处罚、行政强制、行政征收、行政给付、行政检查、行政确认、行政奖励、行政裁决以外的行政职权。</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97D52"/>
    <w:rsid w:val="24A56D8F"/>
    <w:rsid w:val="31A7130E"/>
    <w:rsid w:val="4C897D52"/>
    <w:rsid w:val="632F3171"/>
    <w:rsid w:val="7FC772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11"/>
    <w:basedOn w:val="4"/>
    <w:qFormat/>
    <w:uiPriority w:val="0"/>
    <w:rPr>
      <w:rFonts w:hint="eastAsia" w:ascii="宋体" w:hAnsi="宋体" w:eastAsia="宋体" w:cs="宋体"/>
      <w:color w:val="000000"/>
      <w:sz w:val="20"/>
      <w:szCs w:val="20"/>
      <w:u w:val="none"/>
    </w:rPr>
  </w:style>
  <w:style w:type="character" w:customStyle="1" w:styleId="6">
    <w:name w:val="font01"/>
    <w:basedOn w:val="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省司法厅</Company>
  <Pages>1</Pages>
  <Words>0</Words>
  <Characters>0</Characters>
  <Lines>0</Lines>
  <Paragraphs>0</Paragraphs>
  <TotalTime>150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2021-03-18T02:07:00Z</dcterms:created>
  <dc:creator>李婷婷(法治督察处)</dc:creator>
  <cp:lastModifiedBy>刘海滨</cp:lastModifiedBy>
  <dcterms:modified xsi:type="dcterms:W3CDTF">2021-04-28T06:13:57Z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6BE224C0853F4CDE9E84CB79D850779A</vt:lpwstr>
  </property>
</Properties>
</file>