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line="700" w:lineRule="exact"/>
        <w:rPr>
          <w:rFonts w:hint="eastAsia" w:ascii="黑体" w:eastAsia="黑体" w:cs="黑体"/>
          <w:color w:val="auto"/>
          <w:sz w:val="32"/>
          <w:szCs w:val="32"/>
          <w:lang w:bidi="ar-SA"/>
        </w:rPr>
      </w:pPr>
      <w:r>
        <w:rPr>
          <w:rFonts w:hint="eastAsia" w:ascii="黑体" w:eastAsia="黑体" w:cs="黑体"/>
          <w:color w:val="auto"/>
          <w:sz w:val="32"/>
          <w:szCs w:val="32"/>
          <w:lang w:bidi="ar-SA"/>
        </w:rPr>
        <w:t>附件1</w:t>
      </w:r>
    </w:p>
    <w:p>
      <w:pPr>
        <w:spacing w:line="700" w:lineRule="exact"/>
        <w:jc w:val="center"/>
        <w:rPr>
          <w:rFonts w:hint="eastAsia" w:ascii="方正小标宋_GBK" w:eastAsia="方正小标宋_GBK" w:cs="方正小标宋_GBK"/>
          <w:color w:val="auto"/>
          <w:sz w:val="44"/>
          <w:szCs w:val="44"/>
          <w:lang w:eastAsia="zh-CN" w:bidi="ar-SA"/>
        </w:rPr>
      </w:pPr>
      <w:r>
        <w:rPr>
          <w:rFonts w:hint="eastAsia" w:ascii="方正小标宋_GBK" w:eastAsia="方正小标宋_GBK" w:cs="方正小标宋_GBK"/>
          <w:color w:val="auto"/>
          <w:spacing w:val="-20"/>
          <w:sz w:val="44"/>
          <w:szCs w:val="44"/>
          <w:lang w:bidi="ar-SA"/>
        </w:rPr>
        <w:t>省人民政府决定取消的行政许可事项目录（</w:t>
      </w:r>
      <w:r>
        <w:rPr>
          <w:rFonts w:hint="eastAsia" w:ascii="方正小标宋_GBK" w:eastAsia="方正小标宋_GBK" w:cs="方正小标宋_GBK"/>
          <w:color w:val="auto"/>
          <w:spacing w:val="-20"/>
          <w:sz w:val="44"/>
          <w:szCs w:val="44"/>
          <w:highlight w:val="none"/>
          <w:lang w:val="en-US" w:eastAsia="zh-CN" w:bidi="ar-SA"/>
        </w:rPr>
        <w:t>12</w:t>
      </w:r>
      <w:r>
        <w:rPr>
          <w:rFonts w:hint="eastAsia" w:ascii="方正小标宋_GBK" w:eastAsia="方正小标宋_GBK" w:cs="方正小标宋_GBK"/>
          <w:color w:val="auto"/>
          <w:spacing w:val="-20"/>
          <w:sz w:val="44"/>
          <w:szCs w:val="44"/>
          <w:lang w:bidi="ar-SA"/>
        </w:rPr>
        <w:t>项</w:t>
      </w:r>
      <w:r>
        <w:rPr>
          <w:rFonts w:hint="eastAsia" w:ascii="方正小标宋_GBK" w:eastAsia="方正小标宋_GBK" w:cs="方正小标宋_GBK"/>
          <w:color w:val="auto"/>
          <w:spacing w:val="-20"/>
          <w:sz w:val="44"/>
          <w:szCs w:val="44"/>
          <w:lang w:eastAsia="zh-CN" w:bidi="ar-SA"/>
        </w:rPr>
        <w:t>）</w:t>
      </w:r>
    </w:p>
    <w:tbl>
      <w:tblPr>
        <w:tblStyle w:val="10"/>
        <w:tblW w:w="10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42" w:type="dxa"/>
          <w:left w:w="108" w:type="dxa"/>
          <w:bottom w:w="142" w:type="dxa"/>
          <w:right w:w="108" w:type="dxa"/>
        </w:tblCellMar>
      </w:tblPr>
      <w:tblGrid>
        <w:gridCol w:w="535"/>
        <w:gridCol w:w="1699"/>
        <w:gridCol w:w="3099"/>
        <w:gridCol w:w="1135"/>
        <w:gridCol w:w="928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Cs w:val="21"/>
                <w:lang w:bidi="ar-SA"/>
              </w:rPr>
            </w:pPr>
            <w:r>
              <w:rPr>
                <w:rFonts w:ascii="Times New Roman" w:hAnsi="Times New Roman" w:eastAsia="黑体"/>
                <w:color w:val="auto"/>
                <w:szCs w:val="21"/>
                <w:lang w:bidi="ar-SA"/>
              </w:rPr>
              <w:t>序号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Cs w:val="21"/>
                <w:lang w:bidi="ar-SA"/>
              </w:rPr>
            </w:pPr>
            <w:r>
              <w:rPr>
                <w:rFonts w:ascii="Times New Roman" w:hAnsi="Times New Roman" w:eastAsia="黑体"/>
                <w:color w:val="auto"/>
                <w:szCs w:val="21"/>
                <w:lang w:bidi="ar-SA"/>
              </w:rPr>
              <w:t>权</w:t>
            </w:r>
            <w:r>
              <w:rPr>
                <w:rFonts w:ascii="Times New Roman" w:hAnsi="Times New Roman" w:eastAsia="黑体"/>
                <w:color w:val="auto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黑体"/>
                <w:color w:val="auto"/>
                <w:szCs w:val="21"/>
                <w:lang w:bidi="ar-SA"/>
              </w:rPr>
              <w:t>力</w:t>
            </w:r>
            <w:r>
              <w:rPr>
                <w:rFonts w:ascii="Times New Roman" w:hAnsi="Times New Roman" w:eastAsia="黑体"/>
                <w:color w:val="auto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黑体"/>
                <w:color w:val="auto"/>
                <w:szCs w:val="21"/>
                <w:lang w:bidi="ar-SA"/>
              </w:rPr>
              <w:t>名</w:t>
            </w:r>
            <w:r>
              <w:rPr>
                <w:rFonts w:ascii="Times New Roman" w:hAnsi="Times New Roman" w:eastAsia="黑体"/>
                <w:color w:val="auto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黑体"/>
                <w:color w:val="auto"/>
                <w:szCs w:val="21"/>
                <w:lang w:bidi="ar-SA"/>
              </w:rPr>
              <w:t>称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Cs w:val="21"/>
                <w:lang w:bidi="ar-SA"/>
              </w:rPr>
            </w:pPr>
            <w:r>
              <w:rPr>
                <w:rFonts w:ascii="Times New Roman" w:hAnsi="Times New Roman" w:eastAsia="黑体"/>
                <w:color w:val="auto"/>
                <w:szCs w:val="21"/>
                <w:lang w:bidi="ar-SA"/>
              </w:rPr>
              <w:t>权</w:t>
            </w:r>
            <w:r>
              <w:rPr>
                <w:rFonts w:ascii="Times New Roman" w:hAnsi="Times New Roman" w:eastAsia="黑体"/>
                <w:color w:val="auto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黑体"/>
                <w:color w:val="auto"/>
                <w:szCs w:val="21"/>
                <w:lang w:bidi="ar-SA"/>
              </w:rPr>
              <w:t>力</w:t>
            </w:r>
            <w:r>
              <w:rPr>
                <w:rFonts w:ascii="Times New Roman" w:hAnsi="Times New Roman" w:eastAsia="黑体"/>
                <w:color w:val="auto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黑体"/>
                <w:color w:val="auto"/>
                <w:szCs w:val="21"/>
                <w:lang w:bidi="ar-SA"/>
              </w:rPr>
              <w:t>依</w:t>
            </w:r>
            <w:r>
              <w:rPr>
                <w:rFonts w:ascii="Times New Roman" w:hAnsi="Times New Roman" w:eastAsia="黑体"/>
                <w:color w:val="auto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黑体"/>
                <w:color w:val="auto"/>
                <w:szCs w:val="21"/>
                <w:lang w:bidi="ar-SA"/>
              </w:rPr>
              <w:t>据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Cs w:val="21"/>
                <w:lang w:bidi="ar-SA"/>
              </w:rPr>
            </w:pPr>
            <w:r>
              <w:rPr>
                <w:rFonts w:ascii="Times New Roman" w:hAnsi="Times New Roman" w:eastAsia="黑体"/>
                <w:color w:val="auto"/>
                <w:spacing w:val="-20"/>
                <w:szCs w:val="21"/>
                <w:lang w:bidi="ar-SA"/>
              </w:rPr>
              <w:t>原实施主体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Cs w:val="21"/>
                <w:lang w:bidi="ar-SA"/>
              </w:rPr>
            </w:pPr>
            <w:r>
              <w:rPr>
                <w:rFonts w:ascii="Times New Roman" w:hAnsi="Times New Roman" w:eastAsia="黑体"/>
                <w:color w:val="auto"/>
                <w:spacing w:val="-20"/>
                <w:szCs w:val="21"/>
                <w:lang w:bidi="ar-SA"/>
              </w:rPr>
              <w:t>调整方式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Cs w:val="21"/>
                <w:lang w:bidi="ar-SA"/>
              </w:rPr>
            </w:pPr>
            <w:r>
              <w:rPr>
                <w:rFonts w:ascii="Times New Roman" w:hAnsi="Times New Roman" w:eastAsia="黑体"/>
                <w:color w:val="auto"/>
                <w:szCs w:val="21"/>
                <w:lang w:bidi="ar-SA"/>
              </w:rPr>
              <w:t>备</w:t>
            </w:r>
            <w:r>
              <w:rPr>
                <w:rFonts w:ascii="Times New Roman" w:hAnsi="Times New Roman" w:eastAsia="黑体"/>
                <w:color w:val="auto"/>
                <w:szCs w:val="21"/>
                <w:lang w:val="en-US" w:eastAsia="zh-CN" w:bidi="ar-SA"/>
              </w:rPr>
              <w:t xml:space="preserve">    </w:t>
            </w:r>
            <w:r>
              <w:rPr>
                <w:rFonts w:ascii="Times New Roman" w:hAnsi="Times New Roman" w:eastAsia="黑体"/>
                <w:color w:val="auto"/>
                <w:szCs w:val="21"/>
                <w:lang w:bidi="ar-SA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wordWrap/>
              <w:adjustRightInd/>
              <w:snapToGrid/>
              <w:jc w:val="center"/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铬化合物生产建设项目审批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  <w:t>《国务院对确需保留的行政审批项目设定行政许可的决定》（国务院令第412号）</w:t>
            </w:r>
          </w:p>
          <w:p>
            <w:pPr>
              <w:widowControl w:val="0"/>
              <w:wordWrap/>
              <w:adjustRightInd/>
              <w:snapToGrid/>
              <w:spacing w:line="240" w:lineRule="exact"/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  <w:t>《国务院关于取消和调整一批行政审批项目等事项的决定》（国发〔2015〕11号）</w:t>
            </w:r>
          </w:p>
          <w:p>
            <w:pPr>
              <w:widowControl w:val="0"/>
              <w:wordWrap/>
              <w:adjustRightInd/>
              <w:snapToGrid/>
              <w:spacing w:line="240" w:lineRule="exact"/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  <w:t>《省人民政府关于取消和调整一批行政审批项目的决定》（省政府令第164号）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  <w:t>省工业和信息化厅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  <w:t>取消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both"/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  <w:t>根据《国务院关于取消和下放一批行政许可事项的决定》（国发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〔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val="en-US" w:eastAsia="zh-CN" w:bidi="ar-SA"/>
              </w:rPr>
              <w:t>2020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〕</w:t>
            </w:r>
            <w:r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  <w:t>13号）取消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wordWrap/>
              <w:adjustRightInd/>
              <w:snapToGrid/>
              <w:jc w:val="center"/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rPr>
                <w:rFonts w:ascii="Times New Roman" w:hAnsi="Times New Roman" w:eastAsia="仿宋_GB2312"/>
                <w:color w:val="auto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val="en-US" w:eastAsia="zh-CN" w:bidi="ar-SA"/>
              </w:rPr>
              <w:t>慈善组织登记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《中华人民共和国慈善法》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  <w:t>省民政厅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  <w:t>取消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both"/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  <w:t>该事项为“慈善组织登记、认定”的子项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wordWrap/>
              <w:adjustRightInd/>
              <w:snapToGrid/>
              <w:jc w:val="center"/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仿宋_GB2312"/>
                <w:color w:val="auto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val="en-US" w:eastAsia="zh-CN" w:bidi="ar-SA"/>
              </w:rPr>
              <w:t>拦河闸坝过船建筑物设计文件、施工方案技术性审核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《中华人民共和国航道法》</w:t>
            </w:r>
          </w:p>
          <w:p>
            <w:pPr>
              <w:widowControl/>
              <w:wordWrap/>
              <w:adjustRightInd/>
              <w:snapToGrid/>
              <w:spacing w:line="240" w:lineRule="exact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《中华人民共和国航道管理条例》</w:t>
            </w:r>
          </w:p>
          <w:p>
            <w:pPr>
              <w:widowControl/>
              <w:wordWrap/>
              <w:adjustRightInd/>
              <w:snapToGrid/>
              <w:spacing w:line="240" w:lineRule="exact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《贵州省水路交通管理条例》</w:t>
            </w:r>
          </w:p>
          <w:p>
            <w:pPr>
              <w:widowControl/>
              <w:wordWrap/>
              <w:adjustRightInd/>
              <w:snapToGrid/>
              <w:spacing w:line="240" w:lineRule="exact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《贵州省通航设施管理办法》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省交通运输厅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取消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both"/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  <w:t>根据《国务院关于取消和下放一批行政许可事项的决定》（国发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〔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val="en-US" w:eastAsia="zh-CN" w:bidi="ar-SA"/>
              </w:rPr>
              <w:t>2020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〕</w:t>
            </w:r>
            <w:r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  <w:t>13号）取消</w:t>
            </w:r>
          </w:p>
          <w:p>
            <w:pPr>
              <w:widowControl w:val="0"/>
              <w:wordWrap/>
              <w:adjustRightInd/>
              <w:snapToGrid/>
              <w:spacing w:line="240" w:lineRule="exact"/>
              <w:jc w:val="both"/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  <w:t>该项为“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对建设与航道有关的工程进行航道通航条件影响评价审核</w:t>
            </w:r>
            <w:r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  <w:t>”的子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val="en-US" w:eastAsia="zh-CN" w:bidi="ar-SA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wordWrap/>
              <w:adjustRightInd/>
              <w:snapToGrid/>
              <w:jc w:val="center"/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color w:val="auto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  <w:t>草种进出口审批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  <w:t>《中华人民共和国种子法》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省农业农村厅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取消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both"/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  <w:t>根据《国务院关于取消和下放一批行政许可事项的决定》（国发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〔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val="en-US" w:eastAsia="zh-CN" w:bidi="ar-SA"/>
              </w:rPr>
              <w:t>2020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〕</w:t>
            </w:r>
            <w:r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  <w:t>13号）取消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wordWrap/>
              <w:adjustRightInd/>
              <w:snapToGrid/>
              <w:jc w:val="center"/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color w:val="auto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  <w:t>复混肥的登记审批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  <w:t>《肥料登记管理办法》（</w:t>
            </w:r>
            <w:r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  <w:t>原</w:t>
            </w:r>
            <w:r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  <w:t>农业部令2017年第8号）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省农业农村厅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取消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both"/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  <w:t>根据《国务院关于取消和下放一批行政许可事项的决定》（国发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〔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val="en-US" w:eastAsia="zh-CN" w:bidi="ar-SA"/>
              </w:rPr>
              <w:t>2020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〕</w:t>
            </w:r>
            <w:r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  <w:t>13号）取消</w:t>
            </w:r>
          </w:p>
          <w:p>
            <w:pPr>
              <w:widowControl w:val="0"/>
              <w:wordWrap/>
              <w:adjustRightInd/>
              <w:snapToGrid/>
              <w:spacing w:line="240" w:lineRule="exact"/>
              <w:jc w:val="both"/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  <w:t>该项为“</w:t>
            </w:r>
            <w:r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  <w:t>复混肥、配方肥（不含叶面肥）、精制有机肥、床土调酸剂的登记审批</w:t>
            </w:r>
            <w:r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  <w:t>”的子项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wordWrap/>
              <w:adjustRightInd/>
              <w:snapToGrid/>
              <w:jc w:val="center"/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color w:val="auto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  <w:t>草种检验机构资格认定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  <w:t>《中华人民共和国种子法》</w:t>
            </w:r>
          </w:p>
          <w:p>
            <w:pPr>
              <w:spacing w:line="260" w:lineRule="exact"/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  <w:t>《农作物种子质量检验机构考核管理办法》（农业农村部令2019年第3号）</w:t>
            </w:r>
          </w:p>
          <w:p>
            <w:pPr>
              <w:spacing w:line="260" w:lineRule="exact"/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  <w:t>《食用菌菌种管理办法》（</w:t>
            </w:r>
            <w:r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  <w:t>原</w:t>
            </w:r>
            <w:r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  <w:t>农业部令2015年第1号）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省农业农村厅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取消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both"/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  <w:t>根据《国务院关于取消和下放一批行政许可事项的决定》（国发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〔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val="en-US" w:eastAsia="zh-CN" w:bidi="ar-SA"/>
              </w:rPr>
              <w:t>2020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〕</w:t>
            </w:r>
            <w:r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  <w:t>13号）取消</w:t>
            </w:r>
          </w:p>
          <w:p>
            <w:pPr>
              <w:widowControl w:val="0"/>
              <w:wordWrap/>
              <w:adjustRightInd/>
              <w:snapToGrid/>
              <w:spacing w:line="240" w:lineRule="exact"/>
              <w:jc w:val="both"/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  <w:t>该项为“</w:t>
            </w:r>
            <w:r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  <w:t>农作物种子、草种、食用菌菌种检验机构资格认定</w:t>
            </w:r>
            <w:r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  <w:t>”的子项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wordWrap/>
              <w:adjustRightInd/>
              <w:snapToGrid/>
              <w:jc w:val="center"/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石油成品油批发、仓储（初审）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  <w:t>《国务院对确需保留的行政审批项目设定行政许可的决定》（国务院令第412号）</w:t>
            </w:r>
          </w:p>
          <w:p>
            <w:pPr>
              <w:widowControl/>
              <w:wordWrap/>
              <w:adjustRightInd/>
              <w:snapToGrid/>
              <w:spacing w:line="240" w:lineRule="exact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《国务院关于取消和下放一批行政许可事项的决定》（国发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〔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val="en-US" w:eastAsia="zh-CN" w:bidi="ar-SA"/>
              </w:rPr>
              <w:t>2020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〕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第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val="en-US" w:eastAsia="zh-CN" w:bidi="ar-SA"/>
              </w:rPr>
              <w:t>13号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省商务厅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取消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both"/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  <w:t>根据《国务院关于取消和下放一批行政许可事项的决定》（国发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〔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val="en-US" w:eastAsia="zh-CN" w:bidi="ar-SA"/>
              </w:rPr>
              <w:t>2020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〕</w:t>
            </w:r>
            <w:r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  <w:t>13号）取消</w:t>
            </w:r>
          </w:p>
          <w:p>
            <w:pPr>
              <w:widowControl w:val="0"/>
              <w:wordWrap/>
              <w:adjustRightInd/>
              <w:snapToGrid/>
              <w:spacing w:line="240" w:lineRule="exact"/>
              <w:jc w:val="both"/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  <w:t>该事项为“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石油成品油批发、仓储（初审）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、零售经营资格审批</w:t>
            </w:r>
            <w:r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  <w:t>”的子项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wordWrap/>
              <w:adjustRightInd/>
              <w:snapToGrid/>
              <w:jc w:val="center"/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仿宋_GB2312"/>
                <w:color w:val="auto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国家规定实施准入特别管理措施、投资总额10亿美元以下（含10亿美元）的外商投资企业设立及变更审批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both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《中华人民共和国外商投资法》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both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《中华人民共和国外商投资法实施条例》（国务院令第723号）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both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《外商投资准入特别管理措施（负面清单）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〔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val="en-US" w:eastAsia="zh-CN" w:bidi="ar-SA"/>
              </w:rPr>
              <w:t>2020年版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〕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》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both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省商务厅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取消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  <w:t>根据《中华人民共和国外商投资法》《外商投资准入特别管理措施（负面清单）（2020年版）》等取消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wordWrap/>
              <w:adjustRightInd/>
              <w:snapToGrid/>
              <w:jc w:val="center"/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仿宋_GB2312"/>
                <w:color w:val="auto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外国人进入国家级自然保护区的审批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《中华人民共和国自然保护区条例》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  <w:t>省林业局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取消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both"/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  <w:t>根据《国务院关于取消和下放一批行政许可事项的决定》（国发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〔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val="en-US" w:eastAsia="zh-CN" w:bidi="ar-SA"/>
              </w:rPr>
              <w:t>2020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〕</w:t>
            </w:r>
            <w:r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  <w:t>13号）取消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wordWrap/>
              <w:adjustRightInd/>
              <w:snapToGrid/>
              <w:jc w:val="center"/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  <w:t>林木种苗质量检验机构考核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  <w:t>《中华人民共和国种子法》</w:t>
            </w:r>
          </w:p>
          <w:p>
            <w:pPr>
              <w:spacing w:line="260" w:lineRule="exact"/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  <w:t>《贵州省林木种苗条例》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  <w:t>省林业局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取消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both"/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  <w:t>根据《国务院关于取消和下放一批行政许可事项的决定》（国发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〔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val="en-US" w:eastAsia="zh-CN" w:bidi="ar-SA"/>
              </w:rPr>
              <w:t>2020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〕</w:t>
            </w:r>
            <w:r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  <w:t>13号）取消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wordWrap/>
              <w:adjustRightInd/>
              <w:snapToGrid/>
              <w:jc w:val="center"/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spacing w:line="240" w:lineRule="exact"/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自然保护区以外的珍贵树木和林区内具有特殊价值的植物的采伐、采集审批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spacing w:line="240" w:lineRule="exact"/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val="en-US" w:eastAsia="zh-CN" w:bidi="ar-SA"/>
              </w:rPr>
              <w:t>《中华人民共和国森林法》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  <w:t>省林业局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取消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both"/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val="en-US" w:eastAsia="zh-CN" w:bidi="ar-SA"/>
              </w:rPr>
              <w:t>《中华人民共和国森林法》新修改后无相关规定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wordWrap/>
              <w:adjustRightInd/>
              <w:snapToGrid/>
              <w:jc w:val="center"/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变更国内药包材生产企业名称、国内药包材生产企业变更地址称谓等项目的药包材补充申请的许可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both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《中华人民共和国药品管理法》</w:t>
            </w:r>
          </w:p>
          <w:p>
            <w:pPr>
              <w:widowControl/>
              <w:spacing w:line="260" w:lineRule="exact"/>
              <w:jc w:val="both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《中华人民共和国药品管理法实施条例》</w:t>
            </w:r>
          </w:p>
          <w:p>
            <w:pPr>
              <w:widowControl/>
              <w:spacing w:line="260" w:lineRule="exact"/>
              <w:jc w:val="both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《直接接触药品的包装材料和容器管理办法》（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原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国家食品药品监督管理局令第13号）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  <w:t>省药品监管局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取消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both"/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val="en-US" w:eastAsia="zh-CN" w:bidi="ar-SA"/>
              </w:rPr>
              <w:t>国家药监局《关于进一步完善药品关联审评和监管工作有关事宜的公告》（2019年第56号）明确不再实施该项许可</w:t>
            </w:r>
          </w:p>
        </w:tc>
      </w:tr>
    </w:tbl>
    <w:p>
      <w:pPr>
        <w:widowControl w:val="0"/>
        <w:wordWrap/>
        <w:adjustRightInd/>
        <w:snapToGrid/>
        <w:rPr>
          <w:rFonts w:ascii="Times New Roman" w:hAnsi="Times New Roman"/>
          <w:color w:val="auto"/>
          <w:lang w:bidi="ar-SA"/>
        </w:rPr>
      </w:pPr>
    </w:p>
    <w:p>
      <w:pPr>
        <w:rPr>
          <w:rFonts w:ascii="Times New Roman" w:hAnsi="Times New Roma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474" w:right="1644" w:bottom="1474" w:left="1701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</w:instrText>
    </w:r>
    <w:r>
      <w:fldChar w:fldCharType="separate"/>
    </w:r>
    <w:r>
      <w:t>- 2 -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036509"/>
    <w:multiLevelType w:val="singleLevel"/>
    <w:tmpl w:val="77036509"/>
    <w:lvl w:ilvl="0" w:tentative="0">
      <w:start w:val="1"/>
      <w:numFmt w:val="decimal"/>
      <w:lvlText w:val=" %1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27ADC"/>
    <w:rsid w:val="78BF1A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rFonts w:ascii="Times New Roman" w:hAnsi="Times New Roman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next w:val="1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8">
    <w:name w:val="index 7"/>
    <w:next w:val="1"/>
    <w:qFormat/>
    <w:uiPriority w:val="0"/>
    <w:pPr>
      <w:widowControl w:val="0"/>
      <w:ind w:left="2520"/>
      <w:jc w:val="both"/>
    </w:pPr>
    <w:rPr>
      <w:rFonts w:ascii="宋体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9">
    <w:name w:val="Normal (Web)"/>
    <w:basedOn w:val="1"/>
    <w:next w:val="8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character" w:styleId="12">
    <w:name w:val="Strong"/>
    <w:uiPriority w:val="0"/>
    <w:rPr>
      <w:b/>
    </w:rPr>
  </w:style>
  <w:style w:type="character" w:styleId="13">
    <w:name w:val="page number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Hyperlink"/>
    <w:qFormat/>
    <w:uiPriority w:val="0"/>
    <w:rPr>
      <w:color w:val="0000FF"/>
      <w:u w:val="single"/>
    </w:rPr>
  </w:style>
  <w:style w:type="paragraph" w:customStyle="1" w:styleId="16">
    <w:name w:val="Normal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7">
    <w:name w:val="Char1 Char Char Char"/>
    <w:basedOn w:val="1"/>
    <w:uiPriority w:val="0"/>
  </w:style>
  <w:style w:type="paragraph" w:customStyle="1" w:styleId="1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9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20">
    <w:name w:val="font121"/>
    <w:uiPriority w:val="0"/>
    <w:rPr>
      <w:rFonts w:ascii="宋体" w:eastAsia="宋体" w:cs="宋体"/>
      <w:color w:val="000000"/>
      <w:sz w:val="18"/>
      <w:szCs w:val="18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50</Pages>
  <Words>32556</Words>
  <Characters>34575</Characters>
  <Lines>3469</Lines>
  <Paragraphs>1451</Paragraphs>
  <TotalTime>18</TotalTime>
  <ScaleCrop>false</ScaleCrop>
  <LinksUpToDate>false</LinksUpToDate>
  <CharactersWithSpaces>35482</CharactersWithSpaces>
  <Application>WPS Office_11.1.0.10463_F1E327BC-269C-435d-A152-05C5408002CA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2019-07-02T08:43:00Z</dcterms:created>
  <dc:creator>huuuliii</dc:creator>
  <cp:lastModifiedBy>刘海滨</cp:lastModifiedBy>
  <cp:lastPrinted>2021-01-07T01:09:00Z</cp:lastPrinted>
  <dcterms:modified xsi:type="dcterms:W3CDTF">2021-04-29T08:15:03Z</dcterms:modified>
  <dc:title>附件1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ACD96C3852F94B7FBE7D1C5D58B41B5A</vt:lpwstr>
  </property>
</Properties>
</file>