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rPr>
          <w:rFonts w:ascii="Times New Roman" w:hAnsi="Times New Roman" w:eastAsia="黑体"/>
          <w:color w:val="auto"/>
          <w:sz w:val="32"/>
          <w:szCs w:val="32"/>
          <w:lang w:bidi="ar-SA"/>
        </w:rPr>
      </w:pPr>
      <w:r>
        <w:rPr>
          <w:rFonts w:hint="eastAsia" w:ascii="黑体" w:eastAsia="黑体" w:cs="黑体"/>
          <w:color w:val="auto"/>
          <w:sz w:val="32"/>
          <w:szCs w:val="32"/>
          <w:lang w:bidi="ar-SA"/>
        </w:rPr>
        <w:t>附件</w:t>
      </w:r>
      <w:r>
        <w:rPr>
          <w:rFonts w:hint="eastAsia" w:ascii="黑体" w:eastAsia="黑体" w:cs="黑体"/>
          <w:color w:val="auto"/>
          <w:sz w:val="32"/>
          <w:szCs w:val="32"/>
          <w:lang w:val="en-US" w:eastAsia="zh-CN" w:bidi="ar-SA"/>
        </w:rPr>
        <w:t>5</w:t>
      </w:r>
    </w:p>
    <w:p>
      <w:pPr>
        <w:spacing w:line="520" w:lineRule="exact"/>
        <w:jc w:val="center"/>
        <w:rPr>
          <w:rFonts w:hint="eastAsia" w:ascii="方正小标宋_GBK" w:eastAsia="方正小标宋_GBK" w:cs="方正小标宋_GBK"/>
          <w:color w:val="auto"/>
          <w:spacing w:val="-28"/>
          <w:sz w:val="44"/>
          <w:szCs w:val="44"/>
          <w:lang w:bidi="ar-SA"/>
        </w:rPr>
      </w:pPr>
      <w:r>
        <w:rPr>
          <w:rFonts w:hint="eastAsia" w:ascii="方正小标宋_GBK" w:eastAsia="方正小标宋_GBK" w:cs="方正小标宋_GBK"/>
          <w:color w:val="auto"/>
          <w:spacing w:val="-28"/>
          <w:sz w:val="44"/>
          <w:szCs w:val="44"/>
          <w:lang w:bidi="ar-SA"/>
        </w:rPr>
        <w:t>省人民政府决定</w:t>
      </w:r>
      <w:r>
        <w:rPr>
          <w:rFonts w:hint="eastAsia" w:ascii="方正小标宋_GBK" w:eastAsia="方正小标宋_GBK" w:cs="方正小标宋_GBK"/>
          <w:color w:val="auto"/>
          <w:spacing w:val="-28"/>
          <w:sz w:val="44"/>
          <w:szCs w:val="44"/>
          <w:lang w:eastAsia="zh-CN" w:bidi="ar-SA"/>
        </w:rPr>
        <w:t>新增</w:t>
      </w:r>
      <w:r>
        <w:rPr>
          <w:rFonts w:hint="eastAsia" w:ascii="方正小标宋_GBK" w:eastAsia="方正小标宋_GBK" w:cs="方正小标宋_GBK"/>
          <w:color w:val="auto"/>
          <w:spacing w:val="-28"/>
          <w:sz w:val="44"/>
          <w:szCs w:val="44"/>
          <w:lang w:bidi="ar-SA"/>
        </w:rPr>
        <w:t>的行政许可</w:t>
      </w:r>
      <w:r>
        <w:rPr>
          <w:rFonts w:hint="eastAsia" w:ascii="方正小标宋_GBK" w:eastAsia="方正小标宋_GBK" w:cs="方正小标宋_GBK"/>
          <w:color w:val="auto"/>
          <w:spacing w:val="-28"/>
          <w:sz w:val="44"/>
          <w:szCs w:val="44"/>
          <w:lang w:eastAsia="zh-CN" w:bidi="ar-SA"/>
        </w:rPr>
        <w:t>事项</w:t>
      </w:r>
      <w:r>
        <w:rPr>
          <w:rFonts w:hint="eastAsia" w:ascii="方正小标宋_GBK" w:eastAsia="方正小标宋_GBK" w:cs="方正小标宋_GBK"/>
          <w:color w:val="auto"/>
          <w:spacing w:val="-28"/>
          <w:sz w:val="44"/>
          <w:szCs w:val="44"/>
          <w:lang w:bidi="ar-SA"/>
        </w:rPr>
        <w:t>目录（</w:t>
      </w:r>
      <w:r>
        <w:rPr>
          <w:rFonts w:hint="eastAsia" w:ascii="方正小标宋_GBK" w:eastAsia="方正小标宋_GBK" w:cs="方正小标宋_GBK"/>
          <w:color w:val="auto"/>
          <w:spacing w:val="-28"/>
          <w:sz w:val="44"/>
          <w:szCs w:val="44"/>
          <w:highlight w:val="none"/>
          <w:lang w:val="en-US" w:eastAsia="zh-CN" w:bidi="ar-SA"/>
        </w:rPr>
        <w:t>12</w:t>
      </w:r>
      <w:r>
        <w:rPr>
          <w:rFonts w:hint="eastAsia" w:ascii="方正小标宋_GBK" w:eastAsia="方正小标宋_GBK" w:cs="方正小标宋_GBK"/>
          <w:color w:val="auto"/>
          <w:spacing w:val="-28"/>
          <w:sz w:val="44"/>
          <w:szCs w:val="44"/>
          <w:lang w:bidi="ar-SA"/>
        </w:rPr>
        <w:t>项）</w:t>
      </w:r>
    </w:p>
    <w:tbl>
      <w:tblPr>
        <w:tblStyle w:val="10"/>
        <w:tblW w:w="10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823"/>
        <w:gridCol w:w="3081"/>
        <w:gridCol w:w="933"/>
        <w:gridCol w:w="4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黑体"/>
                <w:color w:val="auto"/>
                <w:szCs w:val="21"/>
                <w:lang w:bidi="ar-SA"/>
              </w:rPr>
            </w:pPr>
            <w:r>
              <w:rPr>
                <w:rFonts w:ascii="Times New Roman" w:hAnsi="Times New Roman" w:eastAsia="黑体"/>
                <w:color w:val="auto"/>
                <w:szCs w:val="21"/>
                <w:lang w:bidi="ar-SA"/>
              </w:rPr>
              <w:t>序号</w:t>
            </w:r>
          </w:p>
        </w:tc>
        <w:tc>
          <w:tcPr>
            <w:tcW w:w="182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黑体"/>
                <w:color w:val="auto"/>
                <w:szCs w:val="21"/>
                <w:lang w:bidi="ar-SA"/>
              </w:rPr>
            </w:pPr>
            <w:r>
              <w:rPr>
                <w:rFonts w:ascii="Times New Roman" w:hAnsi="Times New Roman" w:eastAsia="黑体"/>
                <w:color w:val="auto"/>
                <w:szCs w:val="21"/>
                <w:lang w:bidi="ar-SA"/>
              </w:rPr>
              <w:t>权</w:t>
            </w:r>
            <w:r>
              <w:rPr>
                <w:rFonts w:ascii="Times New Roman" w:hAnsi="Times New Roman" w:eastAsia="黑体"/>
                <w:color w:val="auto"/>
                <w:szCs w:val="21"/>
                <w:lang w:val="en-US" w:eastAsia="zh-CN" w:bidi="ar-SA"/>
              </w:rPr>
              <w:t xml:space="preserve"> </w:t>
            </w:r>
            <w:r>
              <w:rPr>
                <w:rFonts w:ascii="Times New Roman" w:hAnsi="Times New Roman" w:eastAsia="黑体"/>
                <w:color w:val="auto"/>
                <w:szCs w:val="21"/>
                <w:lang w:bidi="ar-SA"/>
              </w:rPr>
              <w:t>力</w:t>
            </w:r>
            <w:r>
              <w:rPr>
                <w:rFonts w:ascii="Times New Roman" w:hAnsi="Times New Roman" w:eastAsia="黑体"/>
                <w:color w:val="auto"/>
                <w:szCs w:val="21"/>
                <w:lang w:val="en-US" w:eastAsia="zh-CN" w:bidi="ar-SA"/>
              </w:rPr>
              <w:t xml:space="preserve"> </w:t>
            </w:r>
            <w:r>
              <w:rPr>
                <w:rFonts w:ascii="Times New Roman" w:hAnsi="Times New Roman" w:eastAsia="黑体"/>
                <w:color w:val="auto"/>
                <w:szCs w:val="21"/>
                <w:lang w:bidi="ar-SA"/>
              </w:rPr>
              <w:t>名</w:t>
            </w:r>
            <w:r>
              <w:rPr>
                <w:rFonts w:ascii="Times New Roman" w:hAnsi="Times New Roman" w:eastAsia="黑体"/>
                <w:color w:val="auto"/>
                <w:szCs w:val="21"/>
                <w:lang w:val="en-US" w:eastAsia="zh-CN" w:bidi="ar-SA"/>
              </w:rPr>
              <w:t xml:space="preserve"> </w:t>
            </w:r>
            <w:r>
              <w:rPr>
                <w:rFonts w:ascii="Times New Roman" w:hAnsi="Times New Roman" w:eastAsia="黑体"/>
                <w:color w:val="auto"/>
                <w:szCs w:val="21"/>
                <w:lang w:bidi="ar-SA"/>
              </w:rPr>
              <w:t>称</w:t>
            </w:r>
          </w:p>
        </w:tc>
        <w:tc>
          <w:tcPr>
            <w:tcW w:w="308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黑体"/>
                <w:color w:val="auto"/>
                <w:szCs w:val="21"/>
                <w:lang w:bidi="ar-SA"/>
              </w:rPr>
            </w:pPr>
            <w:r>
              <w:rPr>
                <w:rFonts w:ascii="Times New Roman" w:hAnsi="Times New Roman" w:eastAsia="黑体"/>
                <w:color w:val="auto"/>
                <w:szCs w:val="21"/>
                <w:lang w:bidi="ar-SA"/>
              </w:rPr>
              <w:t>权</w:t>
            </w:r>
            <w:r>
              <w:rPr>
                <w:rFonts w:ascii="Times New Roman" w:hAnsi="Times New Roman" w:eastAsia="黑体"/>
                <w:color w:val="auto"/>
                <w:szCs w:val="21"/>
                <w:lang w:val="en-US" w:eastAsia="zh-CN" w:bidi="ar-SA"/>
              </w:rPr>
              <w:t xml:space="preserve"> </w:t>
            </w:r>
            <w:r>
              <w:rPr>
                <w:rFonts w:ascii="Times New Roman" w:hAnsi="Times New Roman" w:eastAsia="黑体"/>
                <w:color w:val="auto"/>
                <w:szCs w:val="21"/>
                <w:lang w:bidi="ar-SA"/>
              </w:rPr>
              <w:t>力</w:t>
            </w:r>
            <w:r>
              <w:rPr>
                <w:rFonts w:ascii="Times New Roman" w:hAnsi="Times New Roman" w:eastAsia="黑体"/>
                <w:color w:val="auto"/>
                <w:szCs w:val="21"/>
                <w:lang w:val="en-US" w:eastAsia="zh-CN" w:bidi="ar-SA"/>
              </w:rPr>
              <w:t xml:space="preserve"> </w:t>
            </w:r>
            <w:r>
              <w:rPr>
                <w:rFonts w:ascii="Times New Roman" w:hAnsi="Times New Roman" w:eastAsia="黑体"/>
                <w:color w:val="auto"/>
                <w:szCs w:val="21"/>
                <w:lang w:bidi="ar-SA"/>
              </w:rPr>
              <w:t>依</w:t>
            </w:r>
            <w:r>
              <w:rPr>
                <w:rFonts w:ascii="Times New Roman" w:hAnsi="Times New Roman" w:eastAsia="黑体"/>
                <w:color w:val="auto"/>
                <w:szCs w:val="21"/>
                <w:lang w:val="en-US" w:eastAsia="zh-CN" w:bidi="ar-SA"/>
              </w:rPr>
              <w:t xml:space="preserve"> </w:t>
            </w:r>
            <w:r>
              <w:rPr>
                <w:rFonts w:ascii="Times New Roman" w:hAnsi="Times New Roman" w:eastAsia="黑体"/>
                <w:color w:val="auto"/>
                <w:szCs w:val="21"/>
                <w:lang w:bidi="ar-SA"/>
              </w:rPr>
              <w:t>据</w:t>
            </w:r>
          </w:p>
        </w:tc>
        <w:tc>
          <w:tcPr>
            <w:tcW w:w="93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黑体"/>
                <w:color w:val="auto"/>
                <w:szCs w:val="21"/>
                <w:lang w:bidi="ar-SA"/>
              </w:rPr>
            </w:pPr>
            <w:r>
              <w:rPr>
                <w:rFonts w:ascii="Times New Roman" w:hAnsi="Times New Roman" w:eastAsia="黑体"/>
                <w:color w:val="auto"/>
                <w:spacing w:val="-20"/>
                <w:szCs w:val="21"/>
                <w:lang w:bidi="ar-SA"/>
              </w:rPr>
              <w:t>实施主体</w:t>
            </w:r>
          </w:p>
        </w:tc>
        <w:tc>
          <w:tcPr>
            <w:tcW w:w="435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黑体"/>
                <w:color w:val="auto"/>
                <w:szCs w:val="21"/>
                <w:lang w:val="en-US" w:eastAsia="zh-CN" w:bidi="ar-SA"/>
              </w:rPr>
            </w:pPr>
            <w:r>
              <w:rPr>
                <w:rFonts w:ascii="Times New Roman" w:hAnsi="Times New Roman" w:eastAsia="黑体"/>
                <w:color w:val="auto"/>
                <w:szCs w:val="21"/>
                <w:lang w:val="en-US" w:eastAsia="zh-CN" w:bidi="ar-SA"/>
              </w:rPr>
              <w:t>新 增 理 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autoSpaceDE w:val="0"/>
              <w:spacing w:line="240" w:lineRule="exact"/>
              <w:ind w:left="425" w:hanging="425"/>
              <w:jc w:val="center"/>
              <w:rPr>
                <w:rFonts w:ascii="Times New Roman" w:hAnsi="Times New Roman" w:eastAsia="仿宋_GB2312"/>
                <w:color w:val="auto"/>
                <w:kern w:val="0"/>
                <w:szCs w:val="21"/>
                <w:lang w:val="en-US" w:eastAsia="zh-CN" w:bidi="ar-SA"/>
              </w:rPr>
            </w:pPr>
          </w:p>
        </w:tc>
        <w:tc>
          <w:tcPr>
            <w:tcW w:w="182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实验动物生产和使用许可</w:t>
            </w:r>
          </w:p>
        </w:tc>
        <w:tc>
          <w:tcPr>
            <w:tcW w:w="3081"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val="en-US" w:eastAsia="zh-CN" w:bidi="ar-SA"/>
              </w:rPr>
              <w:t>《实验动物管理条例》</w:t>
            </w:r>
          </w:p>
          <w:p>
            <w:pPr>
              <w:autoSpaceDE w:val="0"/>
              <w:spacing w:line="240" w:lineRule="exact"/>
              <w:jc w:val="lef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val="en-US" w:eastAsia="zh-CN" w:bidi="ar-SA"/>
              </w:rPr>
              <w:t>《实验动物质量管理办法》（国科发财字</w:t>
            </w:r>
            <w:r>
              <w:rPr>
                <w:rFonts w:ascii="Times New Roman" w:hAnsi="Times New Roman" w:eastAsia="仿宋_GB2312"/>
                <w:color w:val="auto"/>
                <w:szCs w:val="21"/>
                <w:lang w:bidi="ar-SA"/>
              </w:rPr>
              <w:t>〔</w:t>
            </w:r>
            <w:r>
              <w:rPr>
                <w:rFonts w:ascii="Times New Roman" w:hAnsi="Times New Roman" w:eastAsia="仿宋_GB2312"/>
                <w:color w:val="auto"/>
                <w:szCs w:val="21"/>
                <w:lang w:val="en-US" w:eastAsia="zh-CN" w:bidi="ar-SA"/>
              </w:rPr>
              <w:t>1997</w:t>
            </w:r>
            <w:r>
              <w:rPr>
                <w:rFonts w:ascii="Times New Roman" w:hAnsi="Times New Roman" w:eastAsia="仿宋_GB2312"/>
                <w:color w:val="auto"/>
                <w:szCs w:val="21"/>
                <w:lang w:bidi="ar-SA"/>
              </w:rPr>
              <w:t>〕</w:t>
            </w:r>
            <w:r>
              <w:rPr>
                <w:rFonts w:ascii="Times New Roman" w:hAnsi="Times New Roman" w:eastAsia="仿宋_GB2312"/>
                <w:color w:val="auto"/>
                <w:kern w:val="0"/>
                <w:szCs w:val="21"/>
                <w:lang w:val="en-US" w:eastAsia="zh-CN" w:bidi="ar-SA"/>
              </w:rPr>
              <w:t>593号）</w:t>
            </w:r>
          </w:p>
          <w:p>
            <w:pPr>
              <w:autoSpaceDE w:val="0"/>
              <w:spacing w:line="240" w:lineRule="exact"/>
              <w:jc w:val="lef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val="en-US" w:eastAsia="zh-CN" w:bidi="ar-SA"/>
              </w:rPr>
              <w:t>《实验动物许可证管理办法（试行）》（国科发财字</w:t>
            </w:r>
            <w:r>
              <w:rPr>
                <w:rFonts w:ascii="Times New Roman" w:hAnsi="Times New Roman" w:eastAsia="仿宋_GB2312"/>
                <w:color w:val="auto"/>
                <w:szCs w:val="21"/>
                <w:lang w:bidi="ar-SA"/>
              </w:rPr>
              <w:t>〔20</w:t>
            </w:r>
            <w:r>
              <w:rPr>
                <w:rFonts w:ascii="Times New Roman" w:hAnsi="Times New Roman" w:eastAsia="仿宋_GB2312"/>
                <w:color w:val="auto"/>
                <w:szCs w:val="21"/>
                <w:lang w:val="en-US" w:eastAsia="zh-CN" w:bidi="ar-SA"/>
              </w:rPr>
              <w:t>01</w:t>
            </w:r>
            <w:r>
              <w:rPr>
                <w:rFonts w:ascii="Times New Roman" w:hAnsi="Times New Roman" w:eastAsia="仿宋_GB2312"/>
                <w:color w:val="auto"/>
                <w:szCs w:val="21"/>
                <w:lang w:bidi="ar-SA"/>
              </w:rPr>
              <w:t>〕</w:t>
            </w:r>
            <w:r>
              <w:rPr>
                <w:rFonts w:ascii="Times New Roman" w:hAnsi="Times New Roman" w:eastAsia="仿宋_GB2312"/>
                <w:color w:val="auto"/>
                <w:kern w:val="0"/>
                <w:szCs w:val="21"/>
                <w:lang w:val="en-US" w:eastAsia="zh-CN" w:bidi="ar-SA"/>
              </w:rPr>
              <w:t>545号）</w:t>
            </w:r>
          </w:p>
        </w:tc>
        <w:tc>
          <w:tcPr>
            <w:tcW w:w="93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jc w:val="center"/>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省科学技术厅</w:t>
            </w:r>
          </w:p>
        </w:tc>
        <w:tc>
          <w:tcPr>
            <w:tcW w:w="4351"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szCs w:val="21"/>
                <w:lang w:val="en-US" w:eastAsia="zh-CN" w:bidi="ar-SA"/>
              </w:rPr>
              <w:t>《实验动物管理条例》第6条，《实验动物质量管理办法》第3条、第9条，《实验动物许可证管理办法》第3条。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jc w:val="center"/>
        </w:trPr>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autoSpaceDE w:val="0"/>
              <w:spacing w:line="240" w:lineRule="exact"/>
              <w:ind w:left="425" w:hanging="425"/>
              <w:jc w:val="center"/>
              <w:rPr>
                <w:rFonts w:ascii="Times New Roman" w:hAnsi="Times New Roman" w:eastAsia="仿宋_GB2312"/>
                <w:color w:val="auto"/>
                <w:kern w:val="0"/>
                <w:szCs w:val="21"/>
                <w:lang w:val="en-US" w:eastAsia="zh-CN" w:bidi="ar-SA"/>
              </w:rPr>
            </w:pPr>
          </w:p>
        </w:tc>
        <w:tc>
          <w:tcPr>
            <w:tcW w:w="182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二级注册结构工程师执业资格认定</w:t>
            </w:r>
          </w:p>
        </w:tc>
        <w:tc>
          <w:tcPr>
            <w:tcW w:w="3081"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《中华人民共和国建筑法》</w:t>
            </w:r>
          </w:p>
          <w:p>
            <w:pPr>
              <w:autoSpaceDE w:val="0"/>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《建设工程勘察设计管理条例》</w:t>
            </w:r>
          </w:p>
          <w:p>
            <w:pPr>
              <w:autoSpaceDE w:val="0"/>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《勘察设计注册工程师管理规定》</w:t>
            </w:r>
          </w:p>
        </w:tc>
        <w:tc>
          <w:tcPr>
            <w:tcW w:w="93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jc w:val="center"/>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省住房城乡建设厅</w:t>
            </w:r>
          </w:p>
        </w:tc>
        <w:tc>
          <w:tcPr>
            <w:tcW w:w="4351"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eastAsia="zh-CN" w:bidi="ar-SA"/>
              </w:rPr>
              <w:t>《中华人民共和国建筑法》第</w:t>
            </w:r>
            <w:r>
              <w:rPr>
                <w:rFonts w:ascii="Times New Roman" w:hAnsi="Times New Roman" w:eastAsia="仿宋_GB2312"/>
                <w:color w:val="auto"/>
                <w:kern w:val="0"/>
                <w:szCs w:val="21"/>
                <w:lang w:val="en-US" w:eastAsia="zh-CN" w:bidi="ar-SA"/>
              </w:rPr>
              <w:t>14</w:t>
            </w:r>
            <w:r>
              <w:rPr>
                <w:rFonts w:ascii="Times New Roman" w:hAnsi="Times New Roman" w:eastAsia="仿宋_GB2312"/>
                <w:color w:val="auto"/>
                <w:kern w:val="0"/>
                <w:szCs w:val="21"/>
                <w:lang w:eastAsia="zh-CN" w:bidi="ar-SA"/>
              </w:rPr>
              <w:t>条“从事建筑活动的专业技术人员，应当依法取得相应的执业资格证书，并在执业资格证书许可的范围内从事建筑活动”；《建设工程勘察设计管理条例》第</w:t>
            </w:r>
            <w:r>
              <w:rPr>
                <w:rFonts w:ascii="Times New Roman" w:hAnsi="Times New Roman" w:eastAsia="仿宋_GB2312"/>
                <w:color w:val="auto"/>
                <w:kern w:val="0"/>
                <w:szCs w:val="21"/>
                <w:lang w:val="en-US" w:eastAsia="zh-CN" w:bidi="ar-SA"/>
              </w:rPr>
              <w:t>9</w:t>
            </w:r>
            <w:r>
              <w:rPr>
                <w:rFonts w:ascii="Times New Roman" w:hAnsi="Times New Roman" w:eastAsia="仿宋_GB2312"/>
                <w:color w:val="auto"/>
                <w:kern w:val="0"/>
                <w:szCs w:val="21"/>
                <w:lang w:eastAsia="zh-CN" w:bidi="ar-SA"/>
              </w:rPr>
              <w:t>条“国家对从事建设工程勘察、设计活动的专业技术人员，实行执业资格注册管理制度。未经注册的建设工程勘察、设计人员，不得以注册执业人员的名义从事建设工程勘察、设计活动”；《勘察设计注册工程师管理规定》第</w:t>
            </w:r>
            <w:r>
              <w:rPr>
                <w:rFonts w:ascii="Times New Roman" w:hAnsi="Times New Roman" w:eastAsia="仿宋_GB2312"/>
                <w:color w:val="auto"/>
                <w:kern w:val="0"/>
                <w:szCs w:val="21"/>
                <w:lang w:val="en-US" w:eastAsia="zh-CN" w:bidi="ar-SA"/>
              </w:rPr>
              <w:t>9</w:t>
            </w:r>
            <w:r>
              <w:rPr>
                <w:rFonts w:ascii="Times New Roman" w:hAnsi="Times New Roman" w:eastAsia="仿宋_GB2312"/>
                <w:color w:val="auto"/>
                <w:kern w:val="0"/>
                <w:szCs w:val="21"/>
                <w:lang w:eastAsia="zh-CN" w:bidi="ar-SA"/>
              </w:rPr>
              <w:t>条“二级注册结构工程师的注册受理和审批，由省、自治区、直辖市人民政府住房城乡建设主管部门负责”。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jc w:val="center"/>
        </w:trPr>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autoSpaceDE w:val="0"/>
              <w:spacing w:line="240" w:lineRule="exact"/>
              <w:ind w:left="425" w:hanging="425"/>
              <w:jc w:val="center"/>
              <w:rPr>
                <w:rFonts w:ascii="Times New Roman" w:hAnsi="Times New Roman" w:eastAsia="仿宋_GB2312"/>
                <w:color w:val="auto"/>
                <w:kern w:val="0"/>
                <w:szCs w:val="21"/>
                <w:lang w:val="en-US" w:eastAsia="zh-CN" w:bidi="ar-SA"/>
              </w:rPr>
            </w:pPr>
          </w:p>
        </w:tc>
        <w:tc>
          <w:tcPr>
            <w:tcW w:w="182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二级注册造价工程师执业资格认定</w:t>
            </w:r>
          </w:p>
        </w:tc>
        <w:tc>
          <w:tcPr>
            <w:tcW w:w="3081"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《中华人民共和国建筑法》</w:t>
            </w:r>
          </w:p>
          <w:p>
            <w:pPr>
              <w:autoSpaceDE w:val="0"/>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《注册造价工程师管理办法》</w:t>
            </w:r>
          </w:p>
        </w:tc>
        <w:tc>
          <w:tcPr>
            <w:tcW w:w="93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jc w:val="center"/>
              <w:rPr>
                <w:rFonts w:ascii="Times New Roman" w:hAnsi="Times New Roman" w:eastAsia="仿宋_GB2312"/>
                <w:color w:val="auto"/>
                <w:kern w:val="0"/>
                <w:szCs w:val="21"/>
                <w:lang w:bidi="ar-SA"/>
              </w:rPr>
            </w:pPr>
            <w:r>
              <w:rPr>
                <w:rFonts w:ascii="Times New Roman" w:hAnsi="Times New Roman" w:eastAsia="仿宋_GB2312"/>
                <w:color w:val="auto"/>
                <w:kern w:val="0"/>
                <w:szCs w:val="21"/>
                <w:lang w:eastAsia="zh-CN" w:bidi="ar-SA"/>
              </w:rPr>
              <w:t>省住房城乡建设厅</w:t>
            </w:r>
          </w:p>
        </w:tc>
        <w:tc>
          <w:tcPr>
            <w:tcW w:w="4351"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bidi="ar-SA"/>
              </w:rPr>
            </w:pPr>
            <w:r>
              <w:rPr>
                <w:rFonts w:ascii="Times New Roman" w:hAnsi="Times New Roman" w:eastAsia="仿宋_GB2312"/>
                <w:color w:val="auto"/>
                <w:kern w:val="0"/>
                <w:szCs w:val="21"/>
                <w:lang w:eastAsia="zh-CN" w:bidi="ar-SA"/>
              </w:rPr>
              <w:t>《中华人民共和国建筑法》第</w:t>
            </w:r>
            <w:r>
              <w:rPr>
                <w:rFonts w:ascii="Times New Roman" w:hAnsi="Times New Roman" w:eastAsia="仿宋_GB2312"/>
                <w:color w:val="auto"/>
                <w:kern w:val="0"/>
                <w:szCs w:val="21"/>
                <w:lang w:val="en-US" w:eastAsia="zh-CN" w:bidi="ar-SA"/>
              </w:rPr>
              <w:t>14</w:t>
            </w:r>
            <w:r>
              <w:rPr>
                <w:rFonts w:ascii="Times New Roman" w:hAnsi="Times New Roman" w:eastAsia="仿宋_GB2312"/>
                <w:color w:val="auto"/>
                <w:kern w:val="0"/>
                <w:szCs w:val="21"/>
                <w:lang w:eastAsia="zh-CN" w:bidi="ar-SA"/>
              </w:rPr>
              <w:t>条“从事建筑活动的专业技术人员，应当依法取得相应的执业资格证书，并在执业资格证书许可的范围内从事建筑活动”；《注册造价工程师管理办法》第</w:t>
            </w:r>
            <w:r>
              <w:rPr>
                <w:rFonts w:ascii="Times New Roman" w:hAnsi="Times New Roman" w:eastAsia="仿宋_GB2312"/>
                <w:color w:val="auto"/>
                <w:kern w:val="0"/>
                <w:szCs w:val="21"/>
                <w:lang w:val="en-US" w:eastAsia="zh-CN" w:bidi="ar-SA"/>
              </w:rPr>
              <w:t>4</w:t>
            </w:r>
            <w:r>
              <w:rPr>
                <w:rFonts w:ascii="Times New Roman" w:hAnsi="Times New Roman" w:eastAsia="仿宋_GB2312"/>
                <w:color w:val="auto"/>
                <w:kern w:val="0"/>
                <w:szCs w:val="21"/>
                <w:lang w:eastAsia="zh-CN" w:bidi="ar-SA"/>
              </w:rPr>
              <w:t>条“省、自治区、直辖市人民政府住房城乡建设主管部门对本行政区域内注册造价工程师的执业活动实施监督管理，并实施本行政区域二级注册造价工程师的注册”，第6条“注册造价工程师实行注册执业管理制度。取得职业资格的人员，经过注册方能以注册造价工程师的名义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autoSpaceDE w:val="0"/>
              <w:spacing w:line="240" w:lineRule="exact"/>
              <w:ind w:left="425" w:hanging="425"/>
              <w:jc w:val="center"/>
              <w:rPr>
                <w:rFonts w:ascii="Times New Roman" w:hAnsi="Times New Roman" w:eastAsia="仿宋_GB2312"/>
                <w:color w:val="auto"/>
                <w:kern w:val="0"/>
                <w:szCs w:val="21"/>
                <w:lang w:val="en-US" w:eastAsia="zh-CN" w:bidi="ar-SA"/>
              </w:rPr>
            </w:pPr>
          </w:p>
        </w:tc>
        <w:tc>
          <w:tcPr>
            <w:tcW w:w="182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内河非干线省际客船运输经营许可</w:t>
            </w:r>
          </w:p>
        </w:tc>
        <w:tc>
          <w:tcPr>
            <w:tcW w:w="3081"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val="en-US" w:eastAsia="zh-CN" w:bidi="ar-SA"/>
              </w:rPr>
              <w:t>《国内水路运输管理条例》</w:t>
            </w:r>
          </w:p>
          <w:p>
            <w:pPr>
              <w:autoSpaceDE w:val="0"/>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val="en-US" w:eastAsia="zh-CN" w:bidi="ar-SA"/>
              </w:rPr>
              <w:t>《交通运输部关于修改&lt;国内水路运输管理规定&gt;的决定》（交通运输部令2020年第4号）</w:t>
            </w:r>
          </w:p>
        </w:tc>
        <w:tc>
          <w:tcPr>
            <w:tcW w:w="93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jc w:val="center"/>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省交通运输厅</w:t>
            </w:r>
          </w:p>
        </w:tc>
        <w:tc>
          <w:tcPr>
            <w:tcW w:w="4351"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val="en-US" w:eastAsia="zh-CN" w:bidi="ar-SA"/>
              </w:rPr>
              <w:t>《国内水路运输管理条例》第8条“经营水路运输业务，应当按照国务院交通运输主管部门的规定，经国务院交通运输主管部门或者设区的市级以上地方人民政府负责水路运输管理的部门批准。”</w:t>
            </w:r>
          </w:p>
          <w:p>
            <w:pPr>
              <w:autoSpaceDE w:val="0"/>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val="en-US" w:eastAsia="zh-CN" w:bidi="ar-SA"/>
              </w:rPr>
              <w:t>《国内水路运输管理规定》第10条“交通运输部实施省际危险品船运输、沿海省际客船运输、长江干线和西江航运干线水上运输距离60公里以上省际客船运输的经营许可。其他内河省际客船运输的经营许可，由水路旅客运输业务经营者所在地省级水路运输管理部门实施，作出许可决定前应当与航线始发港、挂靠港、目的港所在地省级水路运输管理部门协商，协商不成的，应当报交通运输部决定。省际普通货船运输、省内水路运输经营许可应当由设区的市级以上地方人民政府水路运输管理部门具体实施，具体权限由省级人民政府交通运输主管部门决定，向社会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autoSpaceDE w:val="0"/>
              <w:spacing w:line="240" w:lineRule="exact"/>
              <w:ind w:left="425" w:hanging="425"/>
              <w:jc w:val="center"/>
              <w:rPr>
                <w:rFonts w:ascii="Times New Roman" w:hAnsi="Times New Roman" w:eastAsia="仿宋_GB2312"/>
                <w:color w:val="auto"/>
                <w:kern w:val="0"/>
                <w:szCs w:val="21"/>
                <w:lang w:val="en-US" w:eastAsia="zh-CN" w:bidi="ar-SA"/>
              </w:rPr>
            </w:pPr>
          </w:p>
        </w:tc>
        <w:tc>
          <w:tcPr>
            <w:tcW w:w="182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szCs w:val="21"/>
                <w:lang w:eastAsia="zh-CN" w:bidi="ar-SA"/>
              </w:rPr>
              <w:t>权限内占用农业灌溉水源、灌排工程设施审批</w:t>
            </w:r>
          </w:p>
        </w:tc>
        <w:tc>
          <w:tcPr>
            <w:tcW w:w="308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《国务院对确需保留的行政审批项目设定行政许可的决定》</w:t>
            </w:r>
            <w:r>
              <w:rPr>
                <w:rFonts w:ascii="Times New Roman" w:hAnsi="Times New Roman" w:eastAsia="仿宋_GB2312"/>
                <w:color w:val="auto"/>
                <w:szCs w:val="21"/>
                <w:lang w:eastAsia="zh-CN" w:bidi="ar-SA"/>
              </w:rPr>
              <w:t>（国务院令第412号）</w:t>
            </w:r>
          </w:p>
          <w:p>
            <w:pPr>
              <w:widowControl/>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《农田水利条例》</w:t>
            </w:r>
          </w:p>
          <w:p>
            <w:pPr>
              <w:widowControl/>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《国务院关于取消和下放一批行政审批项目的决定》(国发〔2014〕5号)</w:t>
            </w:r>
          </w:p>
        </w:tc>
        <w:tc>
          <w:tcPr>
            <w:tcW w:w="93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省水利厅</w:t>
            </w:r>
          </w:p>
        </w:tc>
        <w:tc>
          <w:tcPr>
            <w:tcW w:w="4351"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《国务院对确需保留的行政审批项目设定行政许可的决定》（</w:t>
            </w:r>
            <w:r>
              <w:rPr>
                <w:rFonts w:ascii="Times New Roman" w:hAnsi="Times New Roman" w:eastAsia="仿宋_GB2312"/>
                <w:color w:val="auto"/>
                <w:szCs w:val="21"/>
                <w:lang w:eastAsia="zh-CN" w:bidi="ar-SA"/>
              </w:rPr>
              <w:t>国务院令第412号</w:t>
            </w:r>
            <w:r>
              <w:rPr>
                <w:rFonts w:ascii="Times New Roman" w:hAnsi="Times New Roman" w:eastAsia="仿宋_GB2312"/>
                <w:color w:val="auto"/>
                <w:kern w:val="0"/>
                <w:szCs w:val="21"/>
                <w:lang w:eastAsia="zh-CN" w:bidi="ar-SA"/>
              </w:rPr>
              <w:t>）附件第170项“权限内占用农业灌溉水源、灌排工程设施审批。实施机关：各级人民政府水行政主管部门、流域管理机构”。</w:t>
            </w:r>
          </w:p>
          <w:p>
            <w:pPr>
              <w:autoSpaceDE w:val="0"/>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农田水利条例》（国务院令第669号）第24条“新建、改建、扩建建设工程确需占用农业灌溉水源、农田水利工程设施的，应当与取用水的单位、个人或者农田水利工程所有权人协商，并经有管辖权的县级以上地方人民政府水行政主管部门同意”。</w:t>
            </w:r>
          </w:p>
          <w:p>
            <w:pPr>
              <w:autoSpaceDE w:val="0"/>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《国务院关于取消和下放一批行政审批项目的决定》（国发〔2014〕5号）附件第28项“权限内占用农业灌溉水源、灌排工程设施审批。仅取消水利部审批权”。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autoSpaceDE w:val="0"/>
              <w:spacing w:line="240" w:lineRule="exact"/>
              <w:ind w:left="425" w:hanging="425"/>
              <w:jc w:val="center"/>
              <w:rPr>
                <w:rFonts w:ascii="Times New Roman" w:hAnsi="Times New Roman" w:eastAsia="仿宋_GB2312"/>
                <w:color w:val="auto"/>
                <w:kern w:val="0"/>
                <w:szCs w:val="21"/>
                <w:lang w:val="en-US" w:eastAsia="zh-CN" w:bidi="ar-SA"/>
              </w:rPr>
            </w:pPr>
          </w:p>
        </w:tc>
        <w:tc>
          <w:tcPr>
            <w:tcW w:w="182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szCs w:val="21"/>
                <w:lang w:eastAsia="zh-CN" w:bidi="ar-SA"/>
              </w:rPr>
              <w:t>权限内在大坝管理和保护范围内修建码头、渔塘许可</w:t>
            </w:r>
          </w:p>
        </w:tc>
        <w:tc>
          <w:tcPr>
            <w:tcW w:w="308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val="en-US" w:eastAsia="zh-CN" w:bidi="ar-SA"/>
              </w:rPr>
              <w:t>《水库大坝安全管理条例》</w:t>
            </w:r>
          </w:p>
          <w:p>
            <w:pPr>
              <w:widowControl/>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val="en-US" w:eastAsia="zh-CN" w:bidi="ar-SA"/>
              </w:rPr>
              <w:t>《贵州省水利工程管理条例》</w:t>
            </w:r>
          </w:p>
        </w:tc>
        <w:tc>
          <w:tcPr>
            <w:tcW w:w="93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省水利厅</w:t>
            </w:r>
          </w:p>
        </w:tc>
        <w:tc>
          <w:tcPr>
            <w:tcW w:w="4351"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val="en-US" w:eastAsia="zh-CN" w:bidi="ar-SA"/>
              </w:rPr>
              <w:t>该事项作为“权限内洪水影响评价类审批”的子项。</w:t>
            </w:r>
          </w:p>
          <w:p>
            <w:pPr>
              <w:autoSpaceDE w:val="0"/>
              <w:spacing w:line="240" w:lineRule="exac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val="en-US" w:eastAsia="zh-CN" w:bidi="ar-SA"/>
              </w:rPr>
              <w:t>《水库大坝安全管理条例》第17条“禁止在坝体修建码头、渠道、堆放杂物、晾晒粮草。在大坝管理和保护范围内修建码头、鱼塘的，须经大坝主管部门批准，并与坝脚和泄水、输水建筑物保持一定距离，不得影响大坝安全、工程管理和抢险工作。”</w:t>
            </w:r>
          </w:p>
          <w:p>
            <w:pPr>
              <w:autoSpaceDE w:val="0"/>
              <w:spacing w:line="240" w:lineRule="exac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val="en-US" w:eastAsia="zh-CN" w:bidi="ar-SA"/>
              </w:rPr>
              <w:t>《贵州省水利工程管理条例》第18条“在水利工程管理范围内，除执行本条例第十七条规定外，禁止下列行为:</w:t>
            </w:r>
          </w:p>
          <w:p>
            <w:pPr>
              <w:autoSpaceDE w:val="0"/>
              <w:spacing w:line="240" w:lineRule="exac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val="en-US" w:eastAsia="zh-CN" w:bidi="ar-SA"/>
              </w:rPr>
              <w:t>(一)建设影响工程正常运行或者危害工程安全的建筑物、构筑物及设施;</w:t>
            </w:r>
          </w:p>
          <w:p>
            <w:pPr>
              <w:autoSpaceDE w:val="0"/>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val="en-US" w:eastAsia="zh-CN" w:bidi="ar-SA"/>
              </w:rPr>
              <w:t>(二)开渠、挖塘、采石、取土、开采地下资源、葬坟、炸鱼。”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autoSpaceDE w:val="0"/>
              <w:spacing w:line="240" w:lineRule="exact"/>
              <w:ind w:left="425" w:hanging="425"/>
              <w:jc w:val="center"/>
              <w:rPr>
                <w:rFonts w:ascii="Times New Roman" w:hAnsi="Times New Roman" w:eastAsia="仿宋_GB2312"/>
                <w:color w:val="auto"/>
                <w:kern w:val="0"/>
                <w:szCs w:val="21"/>
                <w:lang w:val="en-US" w:eastAsia="zh-CN" w:bidi="ar-SA"/>
              </w:rPr>
            </w:pPr>
          </w:p>
        </w:tc>
        <w:tc>
          <w:tcPr>
            <w:tcW w:w="182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szCs w:val="21"/>
                <w:lang w:eastAsia="zh-CN" w:bidi="ar-SA"/>
              </w:rPr>
            </w:pPr>
            <w:r>
              <w:rPr>
                <w:rFonts w:ascii="Times New Roman" w:hAnsi="Times New Roman" w:eastAsia="仿宋_GB2312"/>
                <w:color w:val="auto"/>
                <w:kern w:val="0"/>
                <w:szCs w:val="21"/>
                <w:lang w:eastAsia="zh-CN" w:bidi="ar-SA"/>
              </w:rPr>
              <w:t>出口国家重点保护的农业野生植物或进出口中国参加的国际公约限制进出口的农业野生植物审批</w:t>
            </w:r>
          </w:p>
        </w:tc>
        <w:tc>
          <w:tcPr>
            <w:tcW w:w="3081"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val="en-US" w:eastAsia="zh-CN" w:bidi="ar-SA"/>
              </w:rPr>
              <w:t>《中华人民共和国野生植物保护条例》（</w:t>
            </w:r>
            <w:r>
              <w:rPr>
                <w:rFonts w:ascii="Times New Roman" w:hAnsi="Times New Roman" w:eastAsia="仿宋_GB2312"/>
                <w:color w:val="auto"/>
                <w:szCs w:val="21"/>
                <w:lang w:eastAsia="zh-CN" w:bidi="ar-SA"/>
              </w:rPr>
              <w:t>国务院令第</w:t>
            </w:r>
            <w:r>
              <w:rPr>
                <w:rFonts w:ascii="Times New Roman" w:hAnsi="Times New Roman" w:eastAsia="仿宋_GB2312"/>
                <w:color w:val="auto"/>
                <w:szCs w:val="21"/>
                <w:lang w:val="en-US" w:eastAsia="zh-CN" w:bidi="ar-SA"/>
              </w:rPr>
              <w:t>687</w:t>
            </w:r>
            <w:r>
              <w:rPr>
                <w:rFonts w:ascii="Times New Roman" w:hAnsi="Times New Roman" w:eastAsia="仿宋_GB2312"/>
                <w:color w:val="auto"/>
                <w:szCs w:val="21"/>
                <w:lang w:eastAsia="zh-CN" w:bidi="ar-SA"/>
              </w:rPr>
              <w:t>号</w:t>
            </w:r>
            <w:r>
              <w:rPr>
                <w:rFonts w:ascii="Times New Roman" w:hAnsi="Times New Roman" w:eastAsia="仿宋_GB2312"/>
                <w:color w:val="auto"/>
                <w:kern w:val="0"/>
                <w:szCs w:val="21"/>
                <w:lang w:val="en-US" w:eastAsia="zh-CN" w:bidi="ar-SA"/>
              </w:rPr>
              <w:t>）</w:t>
            </w:r>
          </w:p>
          <w:p>
            <w:pPr>
              <w:autoSpaceDE w:val="0"/>
              <w:spacing w:line="240" w:lineRule="exac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val="en-US" w:eastAsia="zh-CN" w:bidi="ar-SA"/>
              </w:rPr>
              <w:t>《国务院关于取消和下放一批行政许可事项的决定》（国发</w:t>
            </w:r>
            <w:r>
              <w:rPr>
                <w:rFonts w:ascii="Times New Roman" w:hAnsi="Times New Roman" w:eastAsia="仿宋_GB2312"/>
                <w:color w:val="auto"/>
                <w:szCs w:val="21"/>
                <w:lang w:bidi="ar-SA"/>
              </w:rPr>
              <w:t>〔20</w:t>
            </w:r>
            <w:r>
              <w:rPr>
                <w:rFonts w:ascii="Times New Roman" w:hAnsi="Times New Roman" w:eastAsia="仿宋_GB2312"/>
                <w:color w:val="auto"/>
                <w:szCs w:val="21"/>
                <w:lang w:val="en-US" w:eastAsia="zh-CN" w:bidi="ar-SA"/>
              </w:rPr>
              <w:t>20</w:t>
            </w:r>
            <w:r>
              <w:rPr>
                <w:rFonts w:ascii="Times New Roman" w:hAnsi="Times New Roman" w:eastAsia="仿宋_GB2312"/>
                <w:color w:val="auto"/>
                <w:szCs w:val="21"/>
                <w:lang w:bidi="ar-SA"/>
              </w:rPr>
              <w:t>〕</w:t>
            </w:r>
            <w:r>
              <w:rPr>
                <w:rFonts w:ascii="Times New Roman" w:hAnsi="Times New Roman" w:eastAsia="仿宋_GB2312"/>
                <w:color w:val="auto"/>
                <w:szCs w:val="21"/>
                <w:lang w:val="en-US" w:eastAsia="zh-CN" w:bidi="ar-SA"/>
              </w:rPr>
              <w:t>13号）</w:t>
            </w:r>
          </w:p>
        </w:tc>
        <w:tc>
          <w:tcPr>
            <w:tcW w:w="93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jc w:val="center"/>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省农业农村厅</w:t>
            </w:r>
          </w:p>
        </w:tc>
        <w:tc>
          <w:tcPr>
            <w:tcW w:w="4351"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val="en-US" w:eastAsia="zh-CN" w:bidi="ar-SA"/>
              </w:rPr>
              <w:t>承接《国务院关于取消和下放一批行政许可事项的决定》（国发</w:t>
            </w:r>
            <w:r>
              <w:rPr>
                <w:rFonts w:ascii="Times New Roman" w:hAnsi="Times New Roman" w:eastAsia="仿宋_GB2312"/>
                <w:color w:val="auto"/>
                <w:szCs w:val="21"/>
                <w:lang w:bidi="ar-SA"/>
              </w:rPr>
              <w:t>〔20</w:t>
            </w:r>
            <w:r>
              <w:rPr>
                <w:rFonts w:ascii="Times New Roman" w:hAnsi="Times New Roman" w:eastAsia="仿宋_GB2312"/>
                <w:color w:val="auto"/>
                <w:szCs w:val="21"/>
                <w:lang w:val="en-US" w:eastAsia="zh-CN" w:bidi="ar-SA"/>
              </w:rPr>
              <w:t>20</w:t>
            </w:r>
            <w:r>
              <w:rPr>
                <w:rFonts w:ascii="Times New Roman" w:hAnsi="Times New Roman" w:eastAsia="仿宋_GB2312"/>
                <w:color w:val="auto"/>
                <w:szCs w:val="21"/>
                <w:lang w:bidi="ar-SA"/>
              </w:rPr>
              <w:t>〕</w:t>
            </w:r>
            <w:r>
              <w:rPr>
                <w:rFonts w:ascii="Times New Roman" w:hAnsi="Times New Roman" w:eastAsia="仿宋_GB2312"/>
                <w:color w:val="auto"/>
                <w:szCs w:val="21"/>
                <w:lang w:val="en-US" w:eastAsia="zh-CN" w:bidi="ar-SA"/>
              </w:rPr>
              <w:t>13号）下放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autoSpaceDE w:val="0"/>
              <w:spacing w:line="240" w:lineRule="exact"/>
              <w:ind w:left="425" w:hanging="425"/>
              <w:jc w:val="center"/>
              <w:rPr>
                <w:rFonts w:ascii="Times New Roman" w:hAnsi="Times New Roman" w:eastAsia="仿宋_GB2312"/>
                <w:color w:val="auto"/>
                <w:kern w:val="0"/>
                <w:szCs w:val="21"/>
                <w:lang w:val="en-US" w:eastAsia="zh-CN" w:bidi="ar-SA"/>
              </w:rPr>
            </w:pPr>
          </w:p>
        </w:tc>
        <w:tc>
          <w:tcPr>
            <w:tcW w:w="182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食用菌菌种（母种和原种）生产经营许可证核发</w:t>
            </w:r>
          </w:p>
        </w:tc>
        <w:tc>
          <w:tcPr>
            <w:tcW w:w="308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《中华人民共和国种子法》</w:t>
            </w:r>
          </w:p>
          <w:p>
            <w:pPr>
              <w:widowControl/>
              <w:spacing w:line="240" w:lineRule="exac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eastAsia="zh-CN" w:bidi="ar-SA"/>
              </w:rPr>
              <w:t>《食用菌菌种管理办法》（原农业部令</w:t>
            </w:r>
            <w:r>
              <w:rPr>
                <w:rFonts w:ascii="Times New Roman" w:hAnsi="Times New Roman" w:eastAsia="仿宋_GB2312"/>
                <w:color w:val="auto"/>
                <w:kern w:val="0"/>
                <w:szCs w:val="21"/>
                <w:lang w:val="en-US" w:eastAsia="zh-CN" w:bidi="ar-SA"/>
              </w:rPr>
              <w:t>2015年第1号）</w:t>
            </w:r>
          </w:p>
        </w:tc>
        <w:tc>
          <w:tcPr>
            <w:tcW w:w="93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jc w:val="center"/>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省农业农村厅</w:t>
            </w:r>
          </w:p>
        </w:tc>
        <w:tc>
          <w:tcPr>
            <w:tcW w:w="4351"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40" w:lineRule="exac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val="en-US" w:eastAsia="zh-CN" w:bidi="ar-SA"/>
              </w:rPr>
              <w:t>根据</w:t>
            </w:r>
            <w:r>
              <w:rPr>
                <w:rFonts w:ascii="Times New Roman" w:hAnsi="Times New Roman" w:eastAsia="仿宋_GB2312"/>
                <w:color w:val="auto"/>
                <w:kern w:val="0"/>
                <w:szCs w:val="21"/>
                <w:lang w:eastAsia="zh-CN" w:bidi="ar-SA"/>
              </w:rPr>
              <w:t>《中华人民共和国种子法》新增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autoSpaceDE w:val="0"/>
              <w:spacing w:line="240" w:lineRule="exact"/>
              <w:ind w:left="425" w:hanging="425"/>
              <w:jc w:val="center"/>
              <w:rPr>
                <w:rFonts w:ascii="Times New Roman" w:hAnsi="Times New Roman" w:eastAsia="仿宋_GB2312"/>
                <w:color w:val="auto"/>
                <w:kern w:val="0"/>
                <w:szCs w:val="21"/>
                <w:lang w:val="en-US" w:eastAsia="zh-CN" w:bidi="ar-SA"/>
              </w:rPr>
            </w:pPr>
          </w:p>
        </w:tc>
        <w:tc>
          <w:tcPr>
            <w:tcW w:w="182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权限内特种设备安装改造修理单位许可</w:t>
            </w:r>
          </w:p>
        </w:tc>
        <w:tc>
          <w:tcPr>
            <w:tcW w:w="3081"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eastAsia="zh-CN" w:bidi="ar-SA"/>
              </w:rPr>
              <w:t>《中华人民共和国特种设备安全法》</w:t>
            </w:r>
          </w:p>
          <w:p>
            <w:pPr>
              <w:autoSpaceDE w:val="0"/>
              <w:spacing w:line="240" w:lineRule="exac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val="en-US" w:eastAsia="zh-CN" w:bidi="ar-SA"/>
              </w:rPr>
              <w:t>《特种设备安全监察条例》</w:t>
            </w:r>
          </w:p>
          <w:p>
            <w:pPr>
              <w:autoSpaceDE w:val="0"/>
              <w:spacing w:line="240" w:lineRule="exac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eastAsia="zh-CN" w:bidi="ar-SA"/>
              </w:rPr>
              <w:t>《国家市场监督管理总局关于特种设备行政许可有关事项的公告》（2019年第3号）</w:t>
            </w:r>
          </w:p>
        </w:tc>
        <w:tc>
          <w:tcPr>
            <w:tcW w:w="93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jc w:val="center"/>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省市场监管局</w:t>
            </w:r>
          </w:p>
        </w:tc>
        <w:tc>
          <w:tcPr>
            <w:tcW w:w="4351"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《国家市场监督管理总局关于特种设备行政许可有关事项的公告》（2019年第3号）</w:t>
            </w:r>
            <w:r>
              <w:rPr>
                <w:rFonts w:ascii="Times New Roman" w:hAnsi="Times New Roman" w:eastAsia="仿宋_GB2312"/>
                <w:color w:val="auto"/>
                <w:kern w:val="0"/>
                <w:szCs w:val="21"/>
                <w:lang w:val="en-US" w:eastAsia="zh-CN" w:bidi="ar-SA"/>
              </w:rPr>
              <w:t>明确特种设备安装改造修理单位许可及特种设备检验检测资格认定的部分权限授权省级市场监管部门实施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autoSpaceDE w:val="0"/>
              <w:spacing w:line="240" w:lineRule="exact"/>
              <w:ind w:left="425" w:hanging="425"/>
              <w:jc w:val="center"/>
              <w:rPr>
                <w:rFonts w:ascii="Times New Roman" w:hAnsi="Times New Roman" w:eastAsia="仿宋_GB2312"/>
                <w:color w:val="auto"/>
                <w:kern w:val="0"/>
                <w:szCs w:val="21"/>
                <w:lang w:val="en-US" w:eastAsia="zh-CN" w:bidi="ar-SA"/>
              </w:rPr>
            </w:pPr>
          </w:p>
        </w:tc>
        <w:tc>
          <w:tcPr>
            <w:tcW w:w="182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权限内特种设备检验检测人员资格认定</w:t>
            </w:r>
          </w:p>
        </w:tc>
        <w:tc>
          <w:tcPr>
            <w:tcW w:w="3081"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eastAsia="zh-CN" w:bidi="ar-SA"/>
              </w:rPr>
              <w:t>《中华人民共和国特种设备安全法》</w:t>
            </w:r>
          </w:p>
          <w:p>
            <w:pPr>
              <w:autoSpaceDE w:val="0"/>
              <w:spacing w:line="240" w:lineRule="exac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val="en-US" w:eastAsia="zh-CN" w:bidi="ar-SA"/>
              </w:rPr>
              <w:t>《特种设备安全监</w:t>
            </w:r>
            <w:r>
              <w:rPr>
                <w:rFonts w:hint="eastAsia" w:ascii="Times New Roman" w:hAnsi="Times New Roman" w:eastAsia="仿宋_GB2312"/>
                <w:color w:val="auto"/>
                <w:kern w:val="0"/>
                <w:szCs w:val="21"/>
                <w:lang w:val="en-US" w:eastAsia="zh-CN" w:bidi="ar-SA"/>
              </w:rPr>
              <w:t>察</w:t>
            </w:r>
            <w:r>
              <w:rPr>
                <w:rFonts w:ascii="Times New Roman" w:hAnsi="Times New Roman" w:eastAsia="仿宋_GB2312"/>
                <w:color w:val="auto"/>
                <w:kern w:val="0"/>
                <w:szCs w:val="21"/>
                <w:lang w:val="en-US" w:eastAsia="zh-CN" w:bidi="ar-SA"/>
              </w:rPr>
              <w:t>条例》</w:t>
            </w:r>
          </w:p>
          <w:p>
            <w:pPr>
              <w:autoSpaceDE w:val="0"/>
              <w:spacing w:line="240" w:lineRule="exac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eastAsia="zh-CN" w:bidi="ar-SA"/>
              </w:rPr>
              <w:t>《国家市场监督管理总局关于特种设备行政许可有关事项的公告》（2019年第3号）</w:t>
            </w:r>
          </w:p>
        </w:tc>
        <w:tc>
          <w:tcPr>
            <w:tcW w:w="93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jc w:val="center"/>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省市场监管局</w:t>
            </w:r>
          </w:p>
        </w:tc>
        <w:tc>
          <w:tcPr>
            <w:tcW w:w="4351"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《国家市场监督管理总局关于特种设备行政许可有关事项的公告》（2019年第3号）</w:t>
            </w:r>
            <w:r>
              <w:rPr>
                <w:rFonts w:ascii="Times New Roman" w:hAnsi="Times New Roman" w:eastAsia="仿宋_GB2312"/>
                <w:color w:val="auto"/>
                <w:kern w:val="0"/>
                <w:szCs w:val="21"/>
                <w:lang w:val="en-US" w:eastAsia="zh-CN" w:bidi="ar-SA"/>
              </w:rPr>
              <w:t>明确特种设备安装改造修理单位许可及特种设备检验检测人员资格认定的部分权限授权省级市场监管部门实施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autoSpaceDE w:val="0"/>
              <w:spacing w:line="240" w:lineRule="exact"/>
              <w:ind w:left="425" w:hanging="425"/>
              <w:jc w:val="center"/>
              <w:rPr>
                <w:rFonts w:ascii="Times New Roman" w:hAnsi="Times New Roman" w:eastAsia="仿宋_GB2312"/>
                <w:color w:val="auto"/>
                <w:kern w:val="0"/>
                <w:szCs w:val="21"/>
                <w:lang w:val="en-US" w:eastAsia="zh-CN" w:bidi="ar-SA"/>
              </w:rPr>
            </w:pPr>
          </w:p>
        </w:tc>
        <w:tc>
          <w:tcPr>
            <w:tcW w:w="182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县级广播电台、电视台变更台名、节目设置范围或节目套数审批</w:t>
            </w:r>
          </w:p>
        </w:tc>
        <w:tc>
          <w:tcPr>
            <w:tcW w:w="3081"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val="en-US" w:eastAsia="zh-CN" w:bidi="ar-SA"/>
              </w:rPr>
              <w:t>《广播电视管理条例》</w:t>
            </w:r>
          </w:p>
          <w:p>
            <w:pPr>
              <w:autoSpaceDE w:val="0"/>
              <w:spacing w:line="240" w:lineRule="exac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val="en-US" w:eastAsia="zh-CN" w:bidi="ar-SA"/>
              </w:rPr>
              <w:t>《国务院关于取消和下放一批行政许可事项的决定》（国发</w:t>
            </w:r>
            <w:r>
              <w:rPr>
                <w:rFonts w:ascii="Times New Roman" w:hAnsi="Times New Roman" w:eastAsia="仿宋_GB2312"/>
                <w:color w:val="auto"/>
                <w:szCs w:val="21"/>
                <w:lang w:bidi="ar-SA"/>
              </w:rPr>
              <w:t>〔20</w:t>
            </w:r>
            <w:r>
              <w:rPr>
                <w:rFonts w:ascii="Times New Roman" w:hAnsi="Times New Roman" w:eastAsia="仿宋_GB2312"/>
                <w:color w:val="auto"/>
                <w:szCs w:val="21"/>
                <w:lang w:val="en-US" w:eastAsia="zh-CN" w:bidi="ar-SA"/>
              </w:rPr>
              <w:t>20</w:t>
            </w:r>
            <w:r>
              <w:rPr>
                <w:rFonts w:ascii="Times New Roman" w:hAnsi="Times New Roman" w:eastAsia="仿宋_GB2312"/>
                <w:color w:val="auto"/>
                <w:szCs w:val="21"/>
                <w:lang w:bidi="ar-SA"/>
              </w:rPr>
              <w:t>〕</w:t>
            </w:r>
            <w:r>
              <w:rPr>
                <w:rFonts w:ascii="Times New Roman" w:hAnsi="Times New Roman" w:eastAsia="仿宋_GB2312"/>
                <w:color w:val="auto"/>
                <w:szCs w:val="21"/>
                <w:lang w:val="en-US" w:eastAsia="zh-CN" w:bidi="ar-SA"/>
              </w:rPr>
              <w:t>13号）</w:t>
            </w:r>
          </w:p>
        </w:tc>
        <w:tc>
          <w:tcPr>
            <w:tcW w:w="93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jc w:val="center"/>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省广电局</w:t>
            </w:r>
          </w:p>
        </w:tc>
        <w:tc>
          <w:tcPr>
            <w:tcW w:w="4351"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val="en-US" w:eastAsia="zh-CN" w:bidi="ar-SA"/>
              </w:rPr>
              <w:t>承接《国务院关于取消和下放一批行政许可事项的决定》（国发</w:t>
            </w:r>
            <w:r>
              <w:rPr>
                <w:rFonts w:ascii="Times New Roman" w:hAnsi="Times New Roman" w:eastAsia="仿宋_GB2312"/>
                <w:color w:val="auto"/>
                <w:szCs w:val="21"/>
                <w:lang w:bidi="ar-SA"/>
              </w:rPr>
              <w:t>〔20</w:t>
            </w:r>
            <w:r>
              <w:rPr>
                <w:rFonts w:ascii="Times New Roman" w:hAnsi="Times New Roman" w:eastAsia="仿宋_GB2312"/>
                <w:color w:val="auto"/>
                <w:szCs w:val="21"/>
                <w:lang w:val="en-US" w:eastAsia="zh-CN" w:bidi="ar-SA"/>
              </w:rPr>
              <w:t>20</w:t>
            </w:r>
            <w:r>
              <w:rPr>
                <w:rFonts w:ascii="Times New Roman" w:hAnsi="Times New Roman" w:eastAsia="仿宋_GB2312"/>
                <w:color w:val="auto"/>
                <w:szCs w:val="21"/>
                <w:lang w:bidi="ar-SA"/>
              </w:rPr>
              <w:t>〕</w:t>
            </w:r>
            <w:r>
              <w:rPr>
                <w:rFonts w:ascii="Times New Roman" w:hAnsi="Times New Roman" w:eastAsia="仿宋_GB2312"/>
                <w:color w:val="auto"/>
                <w:szCs w:val="21"/>
                <w:lang w:val="en-US" w:eastAsia="zh-CN" w:bidi="ar-SA"/>
              </w:rPr>
              <w:t>13号）下放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483"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autoSpaceDE w:val="0"/>
              <w:spacing w:line="240" w:lineRule="exact"/>
              <w:ind w:left="425" w:hanging="425"/>
              <w:jc w:val="center"/>
              <w:rPr>
                <w:rFonts w:ascii="Times New Roman" w:hAnsi="Times New Roman" w:eastAsia="仿宋_GB2312"/>
                <w:color w:val="auto"/>
                <w:kern w:val="0"/>
                <w:szCs w:val="21"/>
                <w:lang w:val="en-US" w:eastAsia="zh-CN" w:bidi="ar-SA"/>
              </w:rPr>
            </w:pPr>
          </w:p>
        </w:tc>
        <w:tc>
          <w:tcPr>
            <w:tcW w:w="182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设区的市、县级地方新闻单位的信息网络传播视听节目许可证核发</w:t>
            </w:r>
          </w:p>
        </w:tc>
        <w:tc>
          <w:tcPr>
            <w:tcW w:w="3081"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szCs w:val="21"/>
                <w:lang w:eastAsia="zh-CN" w:bidi="ar-SA"/>
              </w:rPr>
            </w:pPr>
            <w:r>
              <w:rPr>
                <w:rFonts w:ascii="Times New Roman" w:hAnsi="Times New Roman" w:eastAsia="仿宋_GB2312"/>
                <w:color w:val="auto"/>
                <w:kern w:val="0"/>
                <w:szCs w:val="21"/>
                <w:lang w:val="en-US" w:eastAsia="zh-CN" w:bidi="ar-SA"/>
              </w:rPr>
              <w:t>《国务院对确需保留的行政审批项目设定行政许可的决定》</w:t>
            </w:r>
            <w:r>
              <w:rPr>
                <w:rFonts w:ascii="Times New Roman" w:hAnsi="Times New Roman" w:eastAsia="仿宋_GB2312"/>
                <w:color w:val="auto"/>
                <w:szCs w:val="21"/>
                <w:lang w:eastAsia="zh-CN" w:bidi="ar-SA"/>
              </w:rPr>
              <w:t>（国务院令第412号）</w:t>
            </w:r>
          </w:p>
          <w:p>
            <w:pPr>
              <w:autoSpaceDE w:val="0"/>
              <w:spacing w:line="240" w:lineRule="exact"/>
              <w:rPr>
                <w:rFonts w:ascii="Times New Roman" w:hAnsi="Times New Roman" w:eastAsia="仿宋_GB2312"/>
                <w:color w:val="auto"/>
                <w:kern w:val="0"/>
                <w:szCs w:val="21"/>
                <w:lang w:val="en-US" w:eastAsia="zh-CN" w:bidi="ar-SA"/>
              </w:rPr>
            </w:pPr>
            <w:r>
              <w:rPr>
                <w:rFonts w:ascii="Times New Roman" w:hAnsi="Times New Roman" w:eastAsia="仿宋_GB2312"/>
                <w:color w:val="auto"/>
                <w:kern w:val="0"/>
                <w:szCs w:val="21"/>
                <w:lang w:val="en-US" w:eastAsia="zh-CN" w:bidi="ar-SA"/>
              </w:rPr>
              <w:t>《国务院关于取消和下放一批行政许可事项的决定》（国发</w:t>
            </w:r>
            <w:r>
              <w:rPr>
                <w:rFonts w:ascii="Times New Roman" w:hAnsi="Times New Roman" w:eastAsia="仿宋_GB2312"/>
                <w:color w:val="auto"/>
                <w:szCs w:val="21"/>
                <w:lang w:bidi="ar-SA"/>
              </w:rPr>
              <w:t>〔20</w:t>
            </w:r>
            <w:r>
              <w:rPr>
                <w:rFonts w:ascii="Times New Roman" w:hAnsi="Times New Roman" w:eastAsia="仿宋_GB2312"/>
                <w:color w:val="auto"/>
                <w:szCs w:val="21"/>
                <w:lang w:val="en-US" w:eastAsia="zh-CN" w:bidi="ar-SA"/>
              </w:rPr>
              <w:t>20</w:t>
            </w:r>
            <w:r>
              <w:rPr>
                <w:rFonts w:ascii="Times New Roman" w:hAnsi="Times New Roman" w:eastAsia="仿宋_GB2312"/>
                <w:color w:val="auto"/>
                <w:szCs w:val="21"/>
                <w:lang w:bidi="ar-SA"/>
              </w:rPr>
              <w:t>〕</w:t>
            </w:r>
            <w:r>
              <w:rPr>
                <w:rFonts w:ascii="Times New Roman" w:hAnsi="Times New Roman" w:eastAsia="仿宋_GB2312"/>
                <w:color w:val="auto"/>
                <w:szCs w:val="21"/>
                <w:lang w:val="en-US" w:eastAsia="zh-CN" w:bidi="ar-SA"/>
              </w:rPr>
              <w:t>13号）</w:t>
            </w:r>
          </w:p>
        </w:tc>
        <w:tc>
          <w:tcPr>
            <w:tcW w:w="933"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jc w:val="center"/>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省广电局</w:t>
            </w:r>
          </w:p>
        </w:tc>
        <w:tc>
          <w:tcPr>
            <w:tcW w:w="4351"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spacing w:line="24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val="en-US" w:eastAsia="zh-CN" w:bidi="ar-SA"/>
              </w:rPr>
              <w:t>承接《国务院关于取消和下放一批行政许可事项的决定》（国发</w:t>
            </w:r>
            <w:r>
              <w:rPr>
                <w:rFonts w:ascii="Times New Roman" w:hAnsi="Times New Roman" w:eastAsia="仿宋_GB2312"/>
                <w:color w:val="auto"/>
                <w:szCs w:val="21"/>
                <w:lang w:bidi="ar-SA"/>
              </w:rPr>
              <w:t>〔20</w:t>
            </w:r>
            <w:r>
              <w:rPr>
                <w:rFonts w:ascii="Times New Roman" w:hAnsi="Times New Roman" w:eastAsia="仿宋_GB2312"/>
                <w:color w:val="auto"/>
                <w:szCs w:val="21"/>
                <w:lang w:val="en-US" w:eastAsia="zh-CN" w:bidi="ar-SA"/>
              </w:rPr>
              <w:t>20</w:t>
            </w:r>
            <w:r>
              <w:rPr>
                <w:rFonts w:ascii="Times New Roman" w:hAnsi="Times New Roman" w:eastAsia="仿宋_GB2312"/>
                <w:color w:val="auto"/>
                <w:szCs w:val="21"/>
                <w:lang w:bidi="ar-SA"/>
              </w:rPr>
              <w:t>〕</w:t>
            </w:r>
            <w:r>
              <w:rPr>
                <w:rFonts w:ascii="Times New Roman" w:hAnsi="Times New Roman" w:eastAsia="仿宋_GB2312"/>
                <w:color w:val="auto"/>
                <w:szCs w:val="21"/>
                <w:lang w:val="en-US" w:eastAsia="zh-CN" w:bidi="ar-SA"/>
              </w:rPr>
              <w:t>13号）下放</w:t>
            </w:r>
          </w:p>
        </w:tc>
      </w:tr>
    </w:tbl>
    <w:p>
      <w:pPr>
        <w:rPr>
          <w:rFonts w:ascii="Times New Roman" w:hAnsi="Times New Roman"/>
          <w:color w:val="auto"/>
          <w:lang w:bidi="ar-SA"/>
        </w:rPr>
      </w:pPr>
    </w:p>
    <w:p>
      <w:pPr>
        <w:widowControl w:val="0"/>
        <w:wordWrap/>
        <w:adjustRightInd/>
        <w:snapToGrid/>
        <w:rPr>
          <w:rFonts w:ascii="Times New Roman" w:hAnsi="Times New Roman"/>
          <w:color w:val="auto"/>
          <w:lang w:bidi="ar-SA"/>
        </w:rPr>
      </w:pPr>
    </w:p>
    <w:p>
      <w:pPr>
        <w:rPr>
          <w:rFonts w:ascii="Times New Roman" w:hAnsi="Times New Roman"/>
        </w:rPr>
      </w:pPr>
      <w:bookmarkStart w:id="0" w:name="_GoBack"/>
      <w:bookmarkEnd w:id="0"/>
    </w:p>
    <w:sectPr>
      <w:headerReference r:id="rId3" w:type="default"/>
      <w:footerReference r:id="rId4" w:type="default"/>
      <w:pgSz w:w="11907" w:h="16840"/>
      <w:pgMar w:top="1474" w:right="1644" w:bottom="1474" w:left="1701"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宋体"/>
    <w:panose1 w:val="00000000000000000000"/>
    <w:charset w:val="00"/>
    <w:family w:val="auto"/>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w:instrText>
    </w:r>
    <w:r>
      <w:fldChar w:fldCharType="separate"/>
    </w:r>
    <w:r>
      <w:t>- 2 -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919CF"/>
    <w:multiLevelType w:val="singleLevel"/>
    <w:tmpl w:val="5F9919CF"/>
    <w:lvl w:ilvl="0" w:tentative="0">
      <w:start w:val="1"/>
      <w:numFmt w:val="decimal"/>
      <w:lvlText w:val=" %1"/>
      <w:lvlJc w:val="left"/>
      <w:pPr>
        <w:tabs>
          <w:tab w:val="left" w:pos="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F27ADC"/>
    <w:rsid w:val="354C37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Balloon Text"/>
    <w:basedOn w:val="1"/>
    <w:qFormat/>
    <w:uiPriority w:val="0"/>
    <w:rPr>
      <w:rFonts w:ascii="Times New Roman" w:hAnsi="Times New Roman"/>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next w:val="1"/>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paragraph" w:styleId="8">
    <w:name w:val="index 7"/>
    <w:next w:val="1"/>
    <w:qFormat/>
    <w:uiPriority w:val="0"/>
    <w:pPr>
      <w:widowControl w:val="0"/>
      <w:ind w:left="2520"/>
      <w:jc w:val="both"/>
    </w:pPr>
    <w:rPr>
      <w:rFonts w:ascii="宋体" w:hAnsi="Times New Roman" w:eastAsia="宋体" w:cs="Times New Roman"/>
      <w:kern w:val="2"/>
      <w:sz w:val="18"/>
      <w:szCs w:val="18"/>
      <w:lang w:val="en-US" w:eastAsia="zh-CN" w:bidi="ar-SA"/>
    </w:rPr>
  </w:style>
  <w:style w:type="paragraph" w:styleId="9">
    <w:name w:val="Normal (Web)"/>
    <w:basedOn w:val="1"/>
    <w:next w:val="8"/>
    <w:qFormat/>
    <w:uiPriority w:val="0"/>
    <w:pPr>
      <w:widowControl/>
      <w:spacing w:before="100" w:beforeAutospacing="1" w:after="100" w:afterAutospacing="1"/>
      <w:jc w:val="left"/>
    </w:pPr>
    <w:rPr>
      <w:rFonts w:ascii="宋体" w:cs="宋体"/>
      <w:kern w:val="0"/>
      <w:sz w:val="24"/>
      <w:szCs w:val="24"/>
      <w:lang w:bidi="ar-SA"/>
    </w:rPr>
  </w:style>
  <w:style w:type="character" w:styleId="12">
    <w:name w:val="Strong"/>
    <w:uiPriority w:val="0"/>
    <w:rPr>
      <w:b/>
    </w:rPr>
  </w:style>
  <w:style w:type="character" w:styleId="13">
    <w:name w:val="page number"/>
    <w:qFormat/>
    <w:uiPriority w:val="0"/>
  </w:style>
  <w:style w:type="character" w:styleId="14">
    <w:name w:val="FollowedHyperlink"/>
    <w:basedOn w:val="11"/>
    <w:qFormat/>
    <w:uiPriority w:val="0"/>
    <w:rPr>
      <w:color w:val="800080"/>
      <w:u w:val="single"/>
    </w:rPr>
  </w:style>
  <w:style w:type="character" w:styleId="15">
    <w:name w:val="Hyperlink"/>
    <w:qFormat/>
    <w:uiPriority w:val="0"/>
    <w:rPr>
      <w:color w:val="0000FF"/>
      <w:u w:val="single"/>
    </w:rPr>
  </w:style>
  <w:style w:type="paragraph" w:customStyle="1" w:styleId="16">
    <w:name w:val="Normal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7">
    <w:name w:val="Char1 Char Char Char"/>
    <w:basedOn w:val="1"/>
    <w:uiPriority w:val="0"/>
  </w:style>
  <w:style w:type="paragraph" w:customStyle="1" w:styleId="18">
    <w:name w:val="p0"/>
    <w:basedOn w:val="1"/>
    <w:qFormat/>
    <w:uiPriority w:val="0"/>
    <w:pPr>
      <w:widowControl/>
    </w:pPr>
    <w:rPr>
      <w:kern w:val="0"/>
      <w:szCs w:val="21"/>
    </w:rPr>
  </w:style>
  <w:style w:type="paragraph" w:customStyle="1" w:styleId="19">
    <w:name w:val="Normal"/>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20">
    <w:name w:val="font121"/>
    <w:uiPriority w:val="0"/>
    <w:rPr>
      <w:rFonts w:ascii="宋体" w:eastAsia="宋体" w:cs="宋体"/>
      <w:color w:val="000000"/>
      <w:sz w:val="18"/>
      <w:szCs w:val="18"/>
      <w:u w:val="none"/>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50</Pages>
  <Words>32556</Words>
  <Characters>34575</Characters>
  <Lines>3469</Lines>
  <Paragraphs>1451</Paragraphs>
  <TotalTime>15</TotalTime>
  <ScaleCrop>false</ScaleCrop>
  <LinksUpToDate>false</LinksUpToDate>
  <CharactersWithSpaces>35482</CharactersWithSpaces>
  <Application>WPS Office_11.1.0.10463_F1E327BC-269C-435d-A152-05C5408002CA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2019-07-02T08:43:00Z</dcterms:created>
  <dc:creator>huuuliii</dc:creator>
  <cp:lastModifiedBy>刘海滨</cp:lastModifiedBy>
  <cp:lastPrinted>2021-01-07T01:09:00Z</cp:lastPrinted>
  <dcterms:modified xsi:type="dcterms:W3CDTF">2021-04-29T08:21:36Z</dcterms:modified>
  <dc:title>附件1</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F0EB27271711408EACBDBEB5ADCE3F13</vt:lpwstr>
  </property>
</Properties>
</file>