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center"/>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bidi="ar"/>
        </w:rPr>
        <w:t>附件</w:t>
      </w:r>
    </w:p>
    <w:p>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center"/>
        <w:rPr>
          <w:rFonts w:hint="eastAsia" w:ascii="方正小标宋简体" w:hAnsi="方正小标宋简体" w:eastAsia="方正小标宋简体" w:cs="方正小标宋简体"/>
          <w:i w:val="0"/>
          <w:caps w:val="0"/>
          <w:color w:val="auto"/>
          <w:spacing w:val="0"/>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center"/>
        <w:rPr>
          <w:rFonts w:hint="eastAsia" w:ascii="方正小标宋简体" w:hAnsi="方正小标宋简体" w:eastAsia="方正小标宋简体" w:cs="方正小标宋简体"/>
          <w:i w:val="0"/>
          <w:caps w:val="0"/>
          <w:color w:val="auto"/>
          <w:spacing w:val="0"/>
          <w:kern w:val="0"/>
          <w:sz w:val="44"/>
          <w:szCs w:val="44"/>
          <w:u w:val="none"/>
          <w:lang w:val="en-US" w:eastAsia="zh-CN" w:bidi="ar"/>
        </w:rPr>
      </w:pPr>
      <w:r>
        <w:rPr>
          <w:rFonts w:hint="eastAsia" w:ascii="方正小标宋简体" w:hAnsi="方正小标宋简体" w:eastAsia="方正小标宋简体" w:cs="方正小标宋简体"/>
          <w:i w:val="0"/>
          <w:caps w:val="0"/>
          <w:color w:val="auto"/>
          <w:spacing w:val="0"/>
          <w:kern w:val="0"/>
          <w:sz w:val="44"/>
          <w:szCs w:val="44"/>
          <w:u w:val="none"/>
          <w:lang w:val="en-US" w:eastAsia="zh-CN" w:bidi="ar"/>
        </w:rPr>
        <w:t>2022年双鸭山市市本级取消、承接行政权力事项目录</w:t>
      </w:r>
    </w:p>
    <w:p>
      <w:pPr>
        <w:pStyle w:val="2"/>
        <w:keepNext w:val="0"/>
        <w:keepLines w:val="0"/>
        <w:pageBreakBefore w:val="0"/>
        <w:kinsoku/>
        <w:wordWrap/>
        <w:overflowPunct/>
        <w:topLinePunct w:val="0"/>
        <w:autoSpaceDE/>
        <w:autoSpaceDN/>
        <w:bidi w:val="0"/>
        <w:spacing w:line="560" w:lineRule="exact"/>
        <w:ind w:left="0" w:leftChars="0"/>
        <w:rPr>
          <w:rFonts w:hint="eastAsia"/>
          <w:lang w:val="en-US" w:eastAsia="zh-CN"/>
        </w:rPr>
      </w:pPr>
    </w:p>
    <w:tbl>
      <w:tblPr>
        <w:tblStyle w:val="6"/>
        <w:tblW w:w="14908" w:type="dxa"/>
        <w:jc w:val="center"/>
        <w:tblInd w:w="-1014" w:type="dxa"/>
        <w:tblLayout w:type="fixed"/>
        <w:tblCellMar>
          <w:top w:w="15" w:type="dxa"/>
          <w:left w:w="15" w:type="dxa"/>
          <w:bottom w:w="15" w:type="dxa"/>
          <w:right w:w="15" w:type="dxa"/>
        </w:tblCellMar>
      </w:tblPr>
      <w:tblGrid>
        <w:gridCol w:w="566"/>
        <w:gridCol w:w="1488"/>
        <w:gridCol w:w="4618"/>
        <w:gridCol w:w="1017"/>
        <w:gridCol w:w="6550"/>
        <w:gridCol w:w="669"/>
      </w:tblGrid>
      <w:tr>
        <w:tblPrEx>
          <w:tblLayout w:type="fixed"/>
          <w:tblCellMar>
            <w:top w:w="15" w:type="dxa"/>
            <w:left w:w="15" w:type="dxa"/>
            <w:bottom w:w="15" w:type="dxa"/>
            <w:right w:w="15" w:type="dxa"/>
          </w:tblCellMar>
        </w:tblPrEx>
        <w:trPr>
          <w:trHeight w:val="90" w:hRule="atLeast"/>
          <w:tblHeader/>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黑体" w:hAnsi="黑体" w:eastAsia="黑体" w:cs="黑体"/>
                <w:b w:val="0"/>
                <w:bCs/>
                <w:kern w:val="0"/>
                <w:sz w:val="21"/>
                <w:szCs w:val="21"/>
                <w:lang w:val="en-US" w:eastAsia="zh-CN" w:bidi="ar"/>
              </w:rPr>
            </w:pPr>
            <w:r>
              <w:rPr>
                <w:rFonts w:hint="eastAsia" w:ascii="黑体" w:hAnsi="黑体" w:eastAsia="黑体" w:cs="黑体"/>
                <w:b w:val="0"/>
                <w:bCs/>
                <w:kern w:val="0"/>
                <w:sz w:val="21"/>
                <w:szCs w:val="21"/>
                <w:lang w:bidi="ar"/>
              </w:rPr>
              <w:t>序号</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黑体" w:hAnsi="黑体" w:eastAsia="黑体" w:cs="黑体"/>
                <w:b w:val="0"/>
                <w:bCs/>
                <w:kern w:val="0"/>
                <w:sz w:val="21"/>
                <w:szCs w:val="21"/>
                <w:lang w:val="en-US" w:eastAsia="zh-CN" w:bidi="ar"/>
              </w:rPr>
            </w:pPr>
            <w:r>
              <w:rPr>
                <w:rFonts w:hint="eastAsia" w:ascii="黑体" w:hAnsi="黑体" w:eastAsia="黑体" w:cs="黑体"/>
                <w:b w:val="0"/>
                <w:bCs/>
                <w:kern w:val="0"/>
                <w:sz w:val="21"/>
                <w:szCs w:val="21"/>
                <w:lang w:eastAsia="zh-CN" w:bidi="ar"/>
              </w:rPr>
              <w:t>行使主体</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黑体" w:hAnsi="黑体" w:eastAsia="黑体" w:cs="黑体"/>
                <w:b w:val="0"/>
                <w:bCs/>
                <w:kern w:val="0"/>
                <w:sz w:val="21"/>
                <w:szCs w:val="21"/>
                <w:lang w:val="en-US" w:eastAsia="zh-CN" w:bidi="ar"/>
              </w:rPr>
            </w:pPr>
            <w:r>
              <w:rPr>
                <w:rFonts w:hint="eastAsia" w:ascii="黑体" w:hAnsi="黑体" w:eastAsia="黑体" w:cs="黑体"/>
                <w:b w:val="0"/>
                <w:bCs/>
                <w:kern w:val="0"/>
                <w:sz w:val="21"/>
                <w:szCs w:val="21"/>
                <w:lang w:bidi="ar"/>
              </w:rPr>
              <w:t>权力名称</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黑体" w:hAnsi="黑体" w:eastAsia="黑体" w:cs="黑体"/>
                <w:b w:val="0"/>
                <w:bCs/>
                <w:kern w:val="0"/>
                <w:sz w:val="21"/>
                <w:szCs w:val="21"/>
                <w:lang w:val="en-US" w:eastAsia="zh-CN" w:bidi="ar"/>
              </w:rPr>
            </w:pPr>
            <w:r>
              <w:rPr>
                <w:rFonts w:hint="eastAsia" w:ascii="黑体" w:hAnsi="黑体" w:eastAsia="黑体" w:cs="黑体"/>
                <w:b w:val="0"/>
                <w:bCs/>
                <w:kern w:val="0"/>
                <w:sz w:val="21"/>
                <w:szCs w:val="21"/>
                <w:lang w:bidi="ar"/>
              </w:rPr>
              <w:t>权力类型</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黑体" w:hAnsi="黑体" w:eastAsia="黑体" w:cs="黑体"/>
                <w:b w:val="0"/>
                <w:bCs/>
                <w:kern w:val="0"/>
                <w:sz w:val="21"/>
                <w:szCs w:val="21"/>
                <w:lang w:val="en-US" w:eastAsia="zh-CN" w:bidi="ar"/>
              </w:rPr>
            </w:pPr>
            <w:r>
              <w:rPr>
                <w:rFonts w:hint="eastAsia" w:ascii="黑体" w:hAnsi="黑体" w:eastAsia="黑体" w:cs="黑体"/>
                <w:b w:val="0"/>
                <w:bCs/>
                <w:kern w:val="0"/>
                <w:sz w:val="21"/>
                <w:szCs w:val="21"/>
                <w:lang w:bidi="ar"/>
              </w:rPr>
              <w:t>依据</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黑体" w:hAnsi="黑体" w:eastAsia="黑体" w:cs="黑体"/>
                <w:b w:val="0"/>
                <w:bCs/>
                <w:kern w:val="0"/>
                <w:sz w:val="21"/>
                <w:szCs w:val="21"/>
                <w:lang w:val="en-US" w:eastAsia="zh-CN" w:bidi="ar"/>
              </w:rPr>
            </w:pPr>
            <w:r>
              <w:rPr>
                <w:rFonts w:hint="eastAsia" w:ascii="黑体" w:hAnsi="黑体" w:eastAsia="黑体" w:cs="黑体"/>
                <w:b w:val="0"/>
                <w:bCs/>
                <w:kern w:val="0"/>
                <w:sz w:val="21"/>
                <w:szCs w:val="21"/>
                <w:lang w:bidi="ar"/>
              </w:rPr>
              <w:t>备注</w:t>
            </w:r>
          </w:p>
        </w:tc>
      </w:tr>
      <w:tr>
        <w:tblPrEx>
          <w:tblLayout w:type="fixed"/>
          <w:tblCellMar>
            <w:top w:w="15" w:type="dxa"/>
            <w:left w:w="15" w:type="dxa"/>
            <w:bottom w:w="15" w:type="dxa"/>
            <w:right w:w="15" w:type="dxa"/>
          </w:tblCellMar>
        </w:tblPrEx>
        <w:trPr>
          <w:trHeight w:val="152" w:hRule="atLeast"/>
          <w:jc w:val="center"/>
        </w:trPr>
        <w:tc>
          <w:tcPr>
            <w:tcW w:w="1490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楷体" w:hAnsi="楷体" w:eastAsia="楷体" w:cs="楷体"/>
                <w:b w:val="0"/>
                <w:bCs/>
                <w:kern w:val="0"/>
                <w:sz w:val="21"/>
                <w:szCs w:val="21"/>
                <w:lang w:bidi="ar"/>
              </w:rPr>
              <w:t>一、取消行政权力事项（7项）</w:t>
            </w: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自然资源</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矿产资源储量登记</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行政确认</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《自然资源部关于推进矿产资源管理改革若干事项的意见（试行）》（自然资规〔2019〕7号）</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2</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生态环境</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权限内建设项目（含辐射项目）竣工环境保护验收</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《中华人民共和国固体废物污染环境防治法》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341"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3</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水</w:t>
            </w:r>
            <w:r>
              <w:rPr>
                <w:rFonts w:hint="eastAsia" w:ascii="仿宋" w:hAnsi="仿宋" w:eastAsia="仿宋" w:cs="仿宋"/>
                <w:bCs/>
                <w:kern w:val="0"/>
                <w:sz w:val="21"/>
                <w:szCs w:val="21"/>
                <w:lang w:eastAsia="zh-CN" w:bidi="ar"/>
              </w:rPr>
              <w:t>务局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对水利施工图设计文件未经审查擅自施工的处罚</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《国务院关于第三批取消中央指定地方实施行政许可事项的决定》（国发〔2017〕7号）水利施工图设计文件审批已取消，对应处罚同步取消。</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487"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市场监管局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气瓶检验机构对定期检验不合格应予报废的气瓶，未进行破坏性处理而直接退回气瓶送检单位或者转卖给其他单位或个人的处罚</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《国家市场监督管理总局关于废止部分规章的决定》</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市场监管局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化妆品经营者经警告处罚，责令限期改进后仍无改进等的处罚</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《国家市场监督管理总局关于废止</w:t>
            </w:r>
            <w:r>
              <w:rPr>
                <w:rStyle w:val="8"/>
                <w:rFonts w:hint="eastAsia" w:ascii="仿宋" w:hAnsi="仿宋" w:eastAsia="仿宋" w:cs="仿宋"/>
                <w:bCs/>
                <w:color w:val="auto"/>
                <w:sz w:val="21"/>
                <w:szCs w:val="21"/>
                <w:lang w:bidi="ar"/>
              </w:rPr>
              <w:t>和修改</w:t>
            </w:r>
            <w:r>
              <w:rPr>
                <w:rStyle w:val="7"/>
                <w:rFonts w:hint="eastAsia" w:ascii="仿宋" w:hAnsi="仿宋" w:eastAsia="仿宋" w:cs="仿宋"/>
                <w:bCs/>
                <w:color w:val="auto"/>
                <w:sz w:val="21"/>
                <w:szCs w:val="21"/>
                <w:lang w:bidi="ar"/>
              </w:rPr>
              <w:t>部分规章的决定》</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154"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市场监管局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无菌器械的生产、经营企业和医疗机构发现不合格无菌器械，不按规定报告，擅自处理等违法行为的处罚</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《国家市场监督管理总局关于废止和修改部分规章的决定》</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卫生健康委</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计划生育技术服务机构执业许可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《国务院关于废止部分行政法规的决定》</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1490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楷体" w:hAnsi="楷体" w:eastAsia="楷体" w:cs="楷体"/>
                <w:b w:val="0"/>
                <w:bCs/>
                <w:kern w:val="0"/>
                <w:sz w:val="21"/>
                <w:szCs w:val="21"/>
                <w:lang w:bidi="ar"/>
              </w:rPr>
              <w:t>二、</w:t>
            </w:r>
            <w:r>
              <w:rPr>
                <w:rFonts w:hint="eastAsia" w:ascii="楷体" w:hAnsi="楷体" w:eastAsia="楷体" w:cs="楷体"/>
                <w:b w:val="0"/>
                <w:bCs/>
                <w:kern w:val="0"/>
                <w:sz w:val="21"/>
                <w:szCs w:val="21"/>
                <w:lang w:eastAsia="zh-CN" w:bidi="ar"/>
              </w:rPr>
              <w:t>省级部门</w:t>
            </w:r>
            <w:r>
              <w:rPr>
                <w:rFonts w:hint="eastAsia" w:ascii="楷体" w:hAnsi="楷体" w:eastAsia="楷体" w:cs="楷体"/>
                <w:b w:val="0"/>
                <w:bCs/>
                <w:kern w:val="0"/>
                <w:sz w:val="21"/>
                <w:szCs w:val="21"/>
                <w:lang w:bidi="ar"/>
              </w:rPr>
              <w:t>下放权力事项（1项）</w:t>
            </w:r>
          </w:p>
        </w:tc>
      </w:tr>
      <w:tr>
        <w:tblPrEx>
          <w:tblLayout w:type="fixed"/>
          <w:tblCellMar>
            <w:top w:w="15" w:type="dxa"/>
            <w:left w:w="15" w:type="dxa"/>
            <w:bottom w:w="15" w:type="dxa"/>
            <w:right w:w="15" w:type="dxa"/>
          </w:tblCellMar>
        </w:tblPrEx>
        <w:trPr>
          <w:trHeight w:val="104"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napToGrid w:val="0"/>
                <w:sz w:val="21"/>
                <w:szCs w:val="21"/>
              </w:rPr>
            </w:pPr>
            <w:r>
              <w:rPr>
                <w:rFonts w:hint="eastAsia" w:ascii="仿宋" w:hAnsi="仿宋" w:eastAsia="仿宋" w:cs="仿宋"/>
                <w:bCs/>
                <w:snapToGrid w:val="0"/>
                <w:kern w:val="0"/>
                <w:sz w:val="21"/>
                <w:szCs w:val="21"/>
                <w:lang w:bidi="ar"/>
              </w:rPr>
              <w:t>1</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napToGrid w:val="0"/>
                <w:sz w:val="21"/>
                <w:szCs w:val="21"/>
                <w:lang w:eastAsia="zh-CN"/>
              </w:rPr>
            </w:pPr>
            <w:r>
              <w:rPr>
                <w:rFonts w:hint="eastAsia" w:ascii="仿宋" w:hAnsi="仿宋" w:eastAsia="仿宋" w:cs="仿宋"/>
                <w:bCs/>
                <w:snapToGrid w:val="0"/>
                <w:kern w:val="0"/>
                <w:sz w:val="21"/>
                <w:szCs w:val="21"/>
                <w:lang w:eastAsia="zh-CN" w:bidi="ar"/>
              </w:rPr>
              <w:t>市</w:t>
            </w:r>
            <w:r>
              <w:rPr>
                <w:rFonts w:hint="eastAsia" w:ascii="仿宋" w:hAnsi="仿宋" w:eastAsia="仿宋" w:cs="仿宋"/>
                <w:bCs/>
                <w:snapToGrid w:val="0"/>
                <w:kern w:val="0"/>
                <w:sz w:val="21"/>
                <w:szCs w:val="21"/>
                <w:lang w:bidi="ar"/>
              </w:rPr>
              <w:t>交通运输</w:t>
            </w:r>
            <w:r>
              <w:rPr>
                <w:rFonts w:hint="eastAsia" w:ascii="仿宋" w:hAnsi="仿宋" w:eastAsia="仿宋" w:cs="仿宋"/>
                <w:bCs/>
                <w:snapToGrid w:val="0"/>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napToGrid w:val="0"/>
                <w:sz w:val="21"/>
                <w:szCs w:val="21"/>
              </w:rPr>
            </w:pPr>
            <w:r>
              <w:rPr>
                <w:rFonts w:hint="eastAsia" w:ascii="仿宋" w:hAnsi="仿宋" w:eastAsia="仿宋" w:cs="仿宋"/>
                <w:bCs/>
                <w:snapToGrid w:val="0"/>
                <w:kern w:val="0"/>
                <w:sz w:val="21"/>
                <w:szCs w:val="21"/>
                <w:lang w:bidi="ar"/>
              </w:rPr>
              <w:t>客运站站级评定</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napToGrid w:val="0"/>
                <w:sz w:val="21"/>
                <w:szCs w:val="21"/>
              </w:rPr>
            </w:pPr>
            <w:r>
              <w:rPr>
                <w:rFonts w:hint="eastAsia" w:ascii="仿宋" w:hAnsi="仿宋" w:eastAsia="仿宋" w:cs="仿宋"/>
                <w:bCs/>
                <w:snapToGrid w:val="0"/>
                <w:kern w:val="0"/>
                <w:sz w:val="21"/>
                <w:szCs w:val="21"/>
                <w:lang w:bidi="ar"/>
              </w:rPr>
              <w:t>行政确认</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jc w:val="left"/>
              <w:textAlignment w:val="center"/>
              <w:rPr>
                <w:rStyle w:val="7"/>
                <w:rFonts w:hint="eastAsia" w:ascii="仿宋" w:hAnsi="仿宋" w:eastAsia="仿宋" w:cs="仿宋"/>
                <w:bCs/>
                <w:snapToGrid w:val="0"/>
                <w:color w:val="auto"/>
                <w:sz w:val="21"/>
                <w:szCs w:val="21"/>
                <w:lang w:bidi="ar"/>
              </w:rPr>
            </w:pPr>
            <w:r>
              <w:rPr>
                <w:rStyle w:val="7"/>
                <w:rFonts w:hint="default" w:ascii="仿宋" w:hAnsi="仿宋" w:eastAsia="仿宋" w:cs="仿宋"/>
                <w:bCs/>
                <w:snapToGrid w:val="0"/>
                <w:color w:val="auto"/>
                <w:sz w:val="21"/>
                <w:szCs w:val="21"/>
                <w:lang w:bidi="ar"/>
              </w:rPr>
              <w:t>1.</w:t>
            </w:r>
            <w:r>
              <w:rPr>
                <w:rStyle w:val="7"/>
                <w:rFonts w:hint="eastAsia" w:ascii="仿宋" w:hAnsi="仿宋" w:eastAsia="仿宋" w:cs="仿宋"/>
                <w:bCs/>
                <w:snapToGrid w:val="0"/>
                <w:color w:val="auto"/>
                <w:sz w:val="21"/>
                <w:szCs w:val="21"/>
                <w:lang w:bidi="ar"/>
              </w:rPr>
              <w:t>《道路旅客运输及客运站管理规定》</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napToGrid w:val="0"/>
                <w:sz w:val="21"/>
                <w:szCs w:val="21"/>
              </w:rPr>
            </w:pPr>
            <w:r>
              <w:rPr>
                <w:rStyle w:val="7"/>
                <w:rFonts w:hint="default" w:ascii="仿宋" w:hAnsi="仿宋" w:eastAsia="仿宋" w:cs="仿宋"/>
                <w:bCs/>
                <w:snapToGrid w:val="0"/>
                <w:color w:val="auto"/>
                <w:sz w:val="21"/>
                <w:szCs w:val="21"/>
                <w:lang w:bidi="ar"/>
              </w:rPr>
              <w:t>2.</w:t>
            </w:r>
            <w:r>
              <w:rPr>
                <w:rStyle w:val="7"/>
                <w:rFonts w:hint="eastAsia" w:ascii="仿宋" w:hAnsi="仿宋" w:eastAsia="仿宋" w:cs="仿宋"/>
                <w:bCs/>
                <w:snapToGrid w:val="0"/>
                <w:color w:val="auto"/>
                <w:sz w:val="21"/>
                <w:szCs w:val="21"/>
                <w:lang w:bidi="ar"/>
              </w:rPr>
              <w:t>《汽车客运站级别划分和建设要求》（JT/T200-2020）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412" w:firstLineChars="200"/>
              <w:jc w:val="left"/>
              <w:textAlignment w:val="center"/>
              <w:rPr>
                <w:rFonts w:hint="eastAsia" w:ascii="仿宋" w:hAnsi="仿宋" w:eastAsia="仿宋" w:cs="仿宋"/>
                <w:bCs/>
                <w:snapToGrid w:val="0"/>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1490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napToGrid w:val="0"/>
                <w:sz w:val="21"/>
                <w:szCs w:val="21"/>
              </w:rPr>
            </w:pPr>
            <w:r>
              <w:rPr>
                <w:rFonts w:hint="eastAsia" w:ascii="楷体" w:hAnsi="楷体" w:eastAsia="楷体" w:cs="楷体"/>
                <w:b w:val="0"/>
                <w:bCs/>
                <w:snapToGrid w:val="0"/>
                <w:kern w:val="0"/>
                <w:sz w:val="21"/>
                <w:szCs w:val="21"/>
                <w:lang w:bidi="ar"/>
              </w:rPr>
              <w:t>三、</w:t>
            </w:r>
            <w:r>
              <w:rPr>
                <w:rFonts w:hint="eastAsia" w:ascii="楷体" w:hAnsi="楷体" w:eastAsia="楷体" w:cs="楷体"/>
                <w:b w:val="0"/>
                <w:bCs/>
                <w:snapToGrid w:val="0"/>
                <w:kern w:val="0"/>
                <w:sz w:val="21"/>
                <w:szCs w:val="21"/>
                <w:lang w:eastAsia="zh-CN" w:bidi="ar"/>
              </w:rPr>
              <w:t>授权</w:t>
            </w:r>
            <w:r>
              <w:rPr>
                <w:rFonts w:hint="eastAsia" w:ascii="楷体" w:hAnsi="楷体" w:eastAsia="楷体" w:cs="楷体"/>
                <w:b w:val="0"/>
                <w:bCs/>
                <w:snapToGrid w:val="0"/>
                <w:kern w:val="0"/>
                <w:sz w:val="21"/>
                <w:szCs w:val="21"/>
                <w:lang w:bidi="ar"/>
              </w:rPr>
              <w:t>委托</w:t>
            </w:r>
            <w:r>
              <w:rPr>
                <w:rFonts w:hint="eastAsia" w:ascii="楷体" w:hAnsi="楷体" w:eastAsia="楷体" w:cs="楷体"/>
                <w:b w:val="0"/>
                <w:bCs/>
                <w:snapToGrid w:val="0"/>
                <w:kern w:val="0"/>
                <w:sz w:val="21"/>
                <w:szCs w:val="21"/>
                <w:lang w:eastAsia="zh-CN" w:bidi="ar"/>
              </w:rPr>
              <w:t>权力</w:t>
            </w:r>
            <w:r>
              <w:rPr>
                <w:rFonts w:hint="eastAsia" w:ascii="楷体" w:hAnsi="楷体" w:eastAsia="楷体" w:cs="楷体"/>
                <w:b w:val="0"/>
                <w:bCs/>
                <w:snapToGrid w:val="0"/>
                <w:kern w:val="0"/>
                <w:sz w:val="21"/>
                <w:szCs w:val="21"/>
                <w:lang w:bidi="ar"/>
              </w:rPr>
              <w:t>事项（3</w:t>
            </w:r>
            <w:r>
              <w:rPr>
                <w:rFonts w:hint="eastAsia" w:ascii="楷体" w:hAnsi="楷体" w:eastAsia="楷体" w:cs="楷体"/>
                <w:b w:val="0"/>
                <w:bCs/>
                <w:snapToGrid w:val="0"/>
                <w:kern w:val="0"/>
                <w:sz w:val="21"/>
                <w:szCs w:val="21"/>
                <w:lang w:val="en-US" w:eastAsia="zh-CN" w:bidi="ar"/>
              </w:rPr>
              <w:t>0</w:t>
            </w:r>
            <w:r>
              <w:rPr>
                <w:rFonts w:hint="eastAsia" w:ascii="楷体" w:hAnsi="楷体" w:eastAsia="楷体" w:cs="楷体"/>
                <w:b w:val="0"/>
                <w:bCs/>
                <w:snapToGrid w:val="0"/>
                <w:kern w:val="0"/>
                <w:sz w:val="21"/>
                <w:szCs w:val="21"/>
                <w:lang w:bidi="ar"/>
              </w:rPr>
              <w:t>项）</w:t>
            </w:r>
          </w:p>
        </w:tc>
      </w:tr>
      <w:tr>
        <w:tblPrEx>
          <w:tblLayout w:type="fixed"/>
          <w:tblCellMar>
            <w:top w:w="15" w:type="dxa"/>
            <w:left w:w="15" w:type="dxa"/>
            <w:bottom w:w="15" w:type="dxa"/>
            <w:right w:w="15" w:type="dxa"/>
          </w:tblCellMar>
        </w:tblPrEx>
        <w:trPr>
          <w:trHeight w:val="229"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律师执业、变更、注销许可</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default" w:ascii="仿宋" w:hAnsi="仿宋" w:eastAsia="仿宋" w:cs="仿宋"/>
                <w:bCs/>
                <w:color w:val="auto"/>
                <w:sz w:val="21"/>
                <w:szCs w:val="21"/>
                <w:lang w:bidi="ar"/>
              </w:rPr>
              <w:t>1.</w:t>
            </w:r>
            <w:r>
              <w:rPr>
                <w:rStyle w:val="7"/>
                <w:rFonts w:hint="eastAsia" w:ascii="仿宋" w:hAnsi="仿宋" w:eastAsia="仿宋" w:cs="仿宋"/>
                <w:bCs/>
                <w:color w:val="auto"/>
                <w:sz w:val="21"/>
                <w:szCs w:val="21"/>
                <w:lang w:bidi="ar"/>
              </w:rPr>
              <w:t>《中华人民共和国律师法》</w:t>
            </w:r>
            <w:r>
              <w:rPr>
                <w:rStyle w:val="7"/>
                <w:rFonts w:hint="eastAsia" w:ascii="仿宋" w:hAnsi="仿宋" w:eastAsia="仿宋" w:cs="仿宋"/>
                <w:bCs/>
                <w:color w:val="auto"/>
                <w:sz w:val="21"/>
                <w:szCs w:val="21"/>
                <w:lang w:bidi="ar"/>
              </w:rPr>
              <w:br w:type="textWrapping"/>
            </w:r>
            <w:r>
              <w:rPr>
                <w:rStyle w:val="7"/>
                <w:rFonts w:hint="default" w:ascii="仿宋" w:hAnsi="仿宋" w:eastAsia="仿宋" w:cs="仿宋"/>
                <w:bCs/>
                <w:color w:val="auto"/>
                <w:sz w:val="21"/>
                <w:szCs w:val="21"/>
                <w:lang w:bidi="ar"/>
              </w:rPr>
              <w:t>2.</w:t>
            </w:r>
            <w:r>
              <w:rPr>
                <w:rStyle w:val="7"/>
                <w:rFonts w:hint="eastAsia" w:ascii="仿宋" w:hAnsi="仿宋" w:eastAsia="仿宋" w:cs="仿宋"/>
                <w:bCs/>
                <w:color w:val="auto"/>
                <w:sz w:val="21"/>
                <w:szCs w:val="21"/>
                <w:lang w:bidi="ar"/>
              </w:rPr>
              <w:t>《律师执业管理办法》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2</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律师事务所（分所）设立、变更、注销许可</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default" w:ascii="仿宋" w:hAnsi="仿宋" w:eastAsia="仿宋" w:cs="仿宋"/>
                <w:bCs/>
                <w:color w:val="auto"/>
                <w:sz w:val="21"/>
                <w:szCs w:val="21"/>
                <w:lang w:bidi="ar"/>
              </w:rPr>
              <w:t>1.</w:t>
            </w:r>
            <w:r>
              <w:rPr>
                <w:rStyle w:val="7"/>
                <w:rFonts w:hint="eastAsia" w:ascii="仿宋" w:hAnsi="仿宋" w:eastAsia="仿宋" w:cs="仿宋"/>
                <w:bCs/>
                <w:color w:val="auto"/>
                <w:sz w:val="21"/>
                <w:szCs w:val="21"/>
                <w:lang w:bidi="ar"/>
              </w:rPr>
              <w:t>《中华人民共和国律师法》</w:t>
            </w:r>
            <w:r>
              <w:rPr>
                <w:rStyle w:val="7"/>
                <w:rFonts w:hint="eastAsia" w:ascii="仿宋" w:hAnsi="仿宋" w:eastAsia="仿宋" w:cs="仿宋"/>
                <w:bCs/>
                <w:color w:val="auto"/>
                <w:sz w:val="21"/>
                <w:szCs w:val="21"/>
                <w:lang w:bidi="ar"/>
              </w:rPr>
              <w:br w:type="textWrapping"/>
            </w:r>
            <w:r>
              <w:rPr>
                <w:rStyle w:val="7"/>
                <w:rFonts w:hint="default" w:ascii="仿宋" w:hAnsi="仿宋" w:eastAsia="仿宋" w:cs="仿宋"/>
                <w:bCs/>
                <w:color w:val="auto"/>
                <w:sz w:val="21"/>
                <w:szCs w:val="21"/>
                <w:lang w:bidi="ar"/>
              </w:rPr>
              <w:t>2.</w:t>
            </w:r>
            <w:r>
              <w:rPr>
                <w:rStyle w:val="7"/>
                <w:rFonts w:hint="eastAsia" w:ascii="仿宋" w:hAnsi="仿宋" w:eastAsia="仿宋" w:cs="仿宋"/>
                <w:bCs/>
                <w:color w:val="auto"/>
                <w:sz w:val="21"/>
                <w:szCs w:val="21"/>
                <w:lang w:bidi="ar"/>
              </w:rPr>
              <w:t>《律师事务所管理办法》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196"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3</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港澳台律师事务所驻内地或大陆代表机构派驻代表执业许可</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jc w:val="left"/>
              <w:textAlignment w:val="center"/>
              <w:rPr>
                <w:rStyle w:val="7"/>
                <w:rFonts w:hint="eastAsia" w:ascii="仿宋" w:hAnsi="仿宋" w:eastAsia="仿宋" w:cs="仿宋"/>
                <w:bCs/>
                <w:color w:val="auto"/>
                <w:sz w:val="21"/>
                <w:szCs w:val="21"/>
                <w:lang w:bidi="ar"/>
              </w:rPr>
            </w:pPr>
            <w:r>
              <w:rPr>
                <w:rStyle w:val="7"/>
                <w:rFonts w:hint="default" w:ascii="仿宋" w:hAnsi="仿宋" w:eastAsia="仿宋" w:cs="仿宋"/>
                <w:bCs/>
                <w:color w:val="auto"/>
                <w:sz w:val="21"/>
                <w:szCs w:val="21"/>
                <w:lang w:bidi="ar"/>
              </w:rPr>
              <w:t>1.</w:t>
            </w:r>
            <w:r>
              <w:rPr>
                <w:rStyle w:val="7"/>
                <w:rFonts w:hint="eastAsia" w:ascii="仿宋" w:hAnsi="仿宋" w:eastAsia="仿宋" w:cs="仿宋"/>
                <w:bCs/>
                <w:color w:val="auto"/>
                <w:sz w:val="21"/>
                <w:szCs w:val="21"/>
                <w:lang w:bidi="ar"/>
              </w:rPr>
              <w:t>《外国律师事务所驻华代表机构管理条例》</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default" w:ascii="仿宋" w:hAnsi="仿宋" w:eastAsia="仿宋" w:cs="仿宋"/>
                <w:bCs/>
                <w:color w:val="auto"/>
                <w:sz w:val="21"/>
                <w:szCs w:val="21"/>
                <w:lang w:bidi="ar"/>
              </w:rPr>
              <w:t>2.</w:t>
            </w:r>
            <w:r>
              <w:rPr>
                <w:rStyle w:val="7"/>
                <w:rFonts w:hint="eastAsia" w:ascii="仿宋" w:hAnsi="仿宋" w:eastAsia="仿宋" w:cs="仿宋"/>
                <w:bCs/>
                <w:color w:val="auto"/>
                <w:sz w:val="21"/>
                <w:szCs w:val="21"/>
                <w:lang w:bidi="ar"/>
              </w:rPr>
              <w:t>《香港、澳门特别行政区律师事务所驻内地代表机构管理办法》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4</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港澳台律师事务所驻内地或大陆代表机构设立、变更、注销许可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jc w:val="left"/>
              <w:textAlignment w:val="center"/>
              <w:rPr>
                <w:rStyle w:val="7"/>
                <w:rFonts w:hint="eastAsia" w:ascii="仿宋" w:hAnsi="仿宋" w:eastAsia="仿宋" w:cs="仿宋"/>
                <w:bCs/>
                <w:color w:val="auto"/>
                <w:sz w:val="21"/>
                <w:szCs w:val="21"/>
                <w:lang w:bidi="ar"/>
              </w:rPr>
            </w:pPr>
            <w:r>
              <w:rPr>
                <w:rStyle w:val="7"/>
                <w:rFonts w:hint="default" w:ascii="仿宋" w:hAnsi="仿宋" w:eastAsia="仿宋" w:cs="仿宋"/>
                <w:bCs/>
                <w:color w:val="auto"/>
                <w:sz w:val="21"/>
                <w:szCs w:val="21"/>
                <w:lang w:bidi="ar"/>
              </w:rPr>
              <w:t>1.</w:t>
            </w:r>
            <w:r>
              <w:rPr>
                <w:rStyle w:val="7"/>
                <w:rFonts w:hint="eastAsia" w:ascii="仿宋" w:hAnsi="仿宋" w:eastAsia="仿宋" w:cs="仿宋"/>
                <w:bCs/>
                <w:color w:val="auto"/>
                <w:sz w:val="21"/>
                <w:szCs w:val="21"/>
                <w:lang w:bidi="ar"/>
              </w:rPr>
              <w:t>《外国律师事务所驻华代表机构管理条例》</w:t>
            </w:r>
          </w:p>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default" w:ascii="仿宋" w:hAnsi="仿宋" w:eastAsia="仿宋" w:cs="仿宋"/>
                <w:bCs/>
                <w:color w:val="auto"/>
                <w:sz w:val="21"/>
                <w:szCs w:val="21"/>
                <w:lang w:bidi="ar"/>
              </w:rPr>
              <w:t>2.</w:t>
            </w:r>
            <w:r>
              <w:rPr>
                <w:rStyle w:val="7"/>
                <w:rFonts w:hint="eastAsia" w:ascii="仿宋" w:hAnsi="仿宋" w:eastAsia="仿宋" w:cs="仿宋"/>
                <w:bCs/>
                <w:color w:val="auto"/>
                <w:sz w:val="21"/>
                <w:szCs w:val="21"/>
                <w:lang w:bidi="ar"/>
              </w:rPr>
              <w:t>《香港、澳门特别行政区律师事务所驻内地代表机构管理办法》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5</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香港、澳门律师事务所与内地律师事务所联营核准</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jc w:val="left"/>
              <w:textAlignment w:val="center"/>
              <w:rPr>
                <w:rStyle w:val="7"/>
                <w:rFonts w:hint="eastAsia" w:ascii="仿宋" w:hAnsi="仿宋" w:eastAsia="仿宋" w:cs="仿宋"/>
                <w:bCs/>
                <w:color w:val="auto"/>
                <w:sz w:val="21"/>
                <w:szCs w:val="21"/>
                <w:lang w:bidi="ar"/>
              </w:rPr>
            </w:pPr>
            <w:r>
              <w:rPr>
                <w:rStyle w:val="7"/>
                <w:rFonts w:hint="default" w:ascii="仿宋" w:hAnsi="仿宋" w:eastAsia="仿宋" w:cs="仿宋"/>
                <w:bCs/>
                <w:color w:val="auto"/>
                <w:sz w:val="21"/>
                <w:szCs w:val="21"/>
                <w:lang w:bidi="ar"/>
              </w:rPr>
              <w:t>1.</w:t>
            </w:r>
            <w:r>
              <w:rPr>
                <w:rStyle w:val="7"/>
                <w:rFonts w:hint="eastAsia" w:ascii="仿宋" w:hAnsi="仿宋" w:eastAsia="仿宋" w:cs="仿宋"/>
                <w:bCs/>
                <w:color w:val="auto"/>
                <w:sz w:val="21"/>
                <w:szCs w:val="21"/>
                <w:lang w:bidi="ar"/>
              </w:rPr>
              <w:t>《国务院对确需保留的行政审批项目设定行政许可的决定》</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default" w:ascii="仿宋" w:hAnsi="仿宋" w:eastAsia="仿宋" w:cs="仿宋"/>
                <w:bCs/>
                <w:color w:val="auto"/>
                <w:sz w:val="21"/>
                <w:szCs w:val="21"/>
                <w:lang w:bidi="ar"/>
              </w:rPr>
              <w:t>2.</w:t>
            </w:r>
            <w:r>
              <w:rPr>
                <w:rStyle w:val="7"/>
                <w:rFonts w:hint="eastAsia" w:ascii="仿宋" w:hAnsi="仿宋" w:eastAsia="仿宋" w:cs="仿宋"/>
                <w:bCs/>
                <w:color w:val="auto"/>
                <w:sz w:val="21"/>
                <w:szCs w:val="21"/>
                <w:lang w:bidi="ar"/>
              </w:rPr>
              <w:t>《香港特别行政区和澳门特别行政区律师事务所与内地律师事务所联营管理办法》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6</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外国律师事务所驻华代表机构设立、变更、注销，派驻代表执业、变更许可（初审）</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jc w:val="left"/>
              <w:textAlignment w:val="center"/>
              <w:rPr>
                <w:rStyle w:val="7"/>
                <w:rFonts w:hint="eastAsia" w:ascii="仿宋" w:hAnsi="仿宋" w:eastAsia="仿宋" w:cs="仿宋"/>
                <w:bCs/>
                <w:color w:val="auto"/>
                <w:sz w:val="21"/>
                <w:szCs w:val="21"/>
                <w:lang w:bidi="ar"/>
              </w:rPr>
            </w:pPr>
            <w:r>
              <w:rPr>
                <w:rStyle w:val="7"/>
                <w:rFonts w:hint="default" w:ascii="仿宋" w:hAnsi="仿宋" w:eastAsia="仿宋" w:cs="仿宋"/>
                <w:bCs/>
                <w:color w:val="auto"/>
                <w:sz w:val="21"/>
                <w:szCs w:val="21"/>
                <w:lang w:bidi="ar"/>
              </w:rPr>
              <w:t>1.</w:t>
            </w:r>
            <w:r>
              <w:rPr>
                <w:rStyle w:val="7"/>
                <w:rFonts w:hint="eastAsia" w:ascii="仿宋" w:hAnsi="仿宋" w:eastAsia="仿宋" w:cs="仿宋"/>
                <w:bCs/>
                <w:color w:val="auto"/>
                <w:sz w:val="21"/>
                <w:szCs w:val="21"/>
                <w:lang w:bidi="ar"/>
              </w:rPr>
              <w:t>《外国律师事务所驻华代表机构管理条例》</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default" w:ascii="仿宋" w:hAnsi="仿宋" w:eastAsia="仿宋" w:cs="仿宋"/>
                <w:bCs/>
                <w:color w:val="auto"/>
                <w:sz w:val="21"/>
                <w:szCs w:val="21"/>
                <w:lang w:bidi="ar"/>
              </w:rPr>
              <w:t>2.</w:t>
            </w:r>
            <w:r>
              <w:rPr>
                <w:rStyle w:val="7"/>
                <w:rFonts w:hint="eastAsia" w:ascii="仿宋" w:hAnsi="仿宋" w:eastAsia="仿宋" w:cs="仿宋"/>
                <w:bCs/>
                <w:color w:val="auto"/>
                <w:sz w:val="21"/>
                <w:szCs w:val="21"/>
                <w:lang w:bidi="ar"/>
              </w:rPr>
              <w:t>《司法部关于执行〈外国律师事务所驻华代表机构管理条例〉的规定》</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7</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律师违反规定会见法官、检察官、仲裁员以及其他有关工作人员，或者以其他不正当方式影响依法办理案件；向法官、检察官、仲裁员以及其他有关工作人员行贿，介绍贿赂或者指使、诱导当事人行贿；向司法行政部门提供虚假材料或者有其他弄虚作假行为；故意提供虚假证据或者威胁、利诱他人提供虚假证据，妨碍对方当事人合法取得证据；接受对方当事人财物或者其他利益，与对方当事人或者第三人恶意串通，侵害委托人权益；扰乱法庭、仲裁庭秩序，干扰诉讼、仲裁活动的正常进行；煽动、教唆当事人采取扰乱公共秩序、危害公共安全等非法手段解决争议；发表危害国家安全、恶意诽谤他人、严重扰乱法庭秩序的言论；泄露国家秘密；律师因故意犯罪受到刑事处罚的处罚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《中华人民共和国律师法》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1227"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8</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律师事务所违反规定接受委托、收取费用；违反法定程序办理重大事项变更；从事法律服务以外的经营活动；以不正当手段承揽业务；违反规定接受有利益冲突的案件；拒绝履行法律援助义务；向司法行政部门提供虚假材料或者其他弄虚作假行为；对本所律师疏于管理，造成严重后果的处罚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《中华人民共和国律师法》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319"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9</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律师受到停止执业处罚期满后二年内又发生应当给予停止执业处罚情形；律师事务所在受到停业整顿处罚期满后二年内又发生应当给予停业整顿处罚情形的处罚</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《中华人民共和国律师法》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10</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香港、澳门特别行政区律师事务所驻内地代表处及其代表非法从事法律服务活动或者其他营利活动的处罚</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《香港、澳门特别行政区律师事务所驻内地代表机构管理办法》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11</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司法</w:t>
            </w:r>
            <w:r>
              <w:rPr>
                <w:rFonts w:hint="eastAsia" w:ascii="仿宋" w:hAnsi="仿宋" w:eastAsia="仿宋" w:cs="仿宋"/>
                <w:bCs/>
                <w:kern w:val="0"/>
                <w:sz w:val="21"/>
                <w:szCs w:val="21"/>
                <w:lang w:eastAsia="zh-CN" w:bidi="ar"/>
              </w:rPr>
              <w:t>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香港、澳门特别行政区律师事务所驻内地代表处聘用内地执业律师或者聘用的辅助人员从事法律服务；开展法律服务收取费用未在内地结算和违反年检规定的处罚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《香港、澳门特别行政区律师事务所驻内地代表机构管理办法》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536"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12</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市司法局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香港、澳门特别行政区律师事务所驻内地代表处或者代表同时在两个以上代表处担任或者兼任代表；泄露当事人的商业秘密或者个人隐私；利用法律服务的便利，收受当事人财物或者其他好处的处罚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《香港、澳门特别行政区律师事务所驻内地代表机构管理办法》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574"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13</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市司法局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香港、澳门特别行政区律师事务所驻内地代表处注销，在债务清偿完毕前将财产转移至内地以外的处罚</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《香港、澳门特别行政区律师事务所驻内地代表机构管理办法》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274"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14</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市司法局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港澳律师事务所、律师或者其他组织、个人擅自在内地从事法律服务活动，或者已被撤销执业许可的代表处或者代表继续在内地从事法律服务活动的处罚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《香港、澳门特别行政区律师事务所驻内地代表机构管理办法》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395"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15</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市司法局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香港、澳门律师事务所与内地律师事务所联营，有违反内地法律、法规和规章规定行为的处罚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《香港特别行政区和澳门特别行政区律师事务所与内地律师事务所联营管理办法》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16</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市司法局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外国律师事务所驻华代表机构或者代表非法从事法律服务活动或者其他营利活动的处罚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《外国律师事务所驻华代表机构管理条例》</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715"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17</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市司法局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外国律师事务所驻华代表机构聘用中国执业律师或者聘用的辅助人员从事法律服务；开展法律服务收取费用未在中国境内结算和违反年检规定的处罚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《外国律师事务所驻华代表机构管理条例》</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18</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市司法局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 xml:space="preserve">外国律师事务所驻华代表机构或代表同时在两个以上代表机构担任或者兼任代表；泄露当事人的商业秘密或者个人隐私；利用法律服务的便利、收受当事人财物或者其他好处的处罚 </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《外国律师事务所驻华代表机构管理条例》</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19</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市司法局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外国律师事务所驻华代表机构注销，在债务清偿完毕前将财产转移至中国境外的处罚</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《外国律师事务所驻华代表机构管理条例》</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20</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市司法局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外国律师事务所、外国律师或者外国其他组织、个人擅自在中国境内从事法律服务活动，或者已被撤销执业许可的代表机构或者代表继续在中国境内从事法律服务活动的处罚</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行政处罚</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《外国律师事务所驻华代表机构管理条例》</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r>
        <w:tblPrEx>
          <w:tblLayout w:type="fixed"/>
          <w:tblCellMar>
            <w:top w:w="15" w:type="dxa"/>
            <w:left w:w="15" w:type="dxa"/>
            <w:bottom w:w="15" w:type="dxa"/>
            <w:right w:w="15" w:type="dxa"/>
          </w:tblCellMar>
        </w:tblPrEx>
        <w:trPr>
          <w:trHeight w:val="194"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default" w:ascii="仿宋" w:hAnsi="仿宋" w:eastAsia="仿宋" w:cs="仿宋"/>
                <w:bCs/>
                <w:sz w:val="21"/>
                <w:szCs w:val="21"/>
                <w:lang w:val="en-US" w:eastAsia="zh-CN"/>
              </w:rPr>
            </w:pPr>
            <w:r>
              <w:rPr>
                <w:rFonts w:hint="eastAsia" w:ascii="仿宋" w:hAnsi="仿宋" w:eastAsia="仿宋" w:cs="仿宋"/>
                <w:bCs/>
                <w:kern w:val="0"/>
                <w:sz w:val="21"/>
                <w:szCs w:val="21"/>
                <w:lang w:val="en-US" w:eastAsia="zh-CN" w:bidi="ar"/>
              </w:rPr>
              <w:t>21</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市司法局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法律援助律师、公职律师、公司律师工作证核发</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行政确认</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default" w:ascii="仿宋" w:hAnsi="仿宋" w:eastAsia="仿宋" w:cs="仿宋"/>
                <w:bCs/>
                <w:color w:val="auto"/>
                <w:sz w:val="21"/>
                <w:szCs w:val="21"/>
                <w:lang w:bidi="ar"/>
              </w:rPr>
              <w:t>1.</w:t>
            </w:r>
            <w:r>
              <w:rPr>
                <w:rStyle w:val="7"/>
                <w:rFonts w:hint="eastAsia" w:ascii="仿宋" w:hAnsi="仿宋" w:eastAsia="仿宋" w:cs="仿宋"/>
                <w:bCs/>
                <w:color w:val="auto"/>
                <w:sz w:val="21"/>
                <w:szCs w:val="21"/>
                <w:lang w:bidi="ar"/>
              </w:rPr>
              <w:t>《中华人民共和国律师法》</w:t>
            </w:r>
            <w:r>
              <w:rPr>
                <w:rStyle w:val="7"/>
                <w:rFonts w:hint="eastAsia" w:ascii="仿宋" w:hAnsi="仿宋" w:eastAsia="仿宋" w:cs="仿宋"/>
                <w:bCs/>
                <w:color w:val="auto"/>
                <w:sz w:val="21"/>
                <w:szCs w:val="21"/>
                <w:lang w:bidi="ar"/>
              </w:rPr>
              <w:br w:type="textWrapping"/>
            </w:r>
            <w:r>
              <w:rPr>
                <w:rStyle w:val="7"/>
                <w:rFonts w:hint="default" w:ascii="仿宋" w:hAnsi="仿宋" w:eastAsia="仿宋" w:cs="仿宋"/>
                <w:bCs/>
                <w:color w:val="auto"/>
                <w:sz w:val="21"/>
                <w:szCs w:val="21"/>
                <w:lang w:bidi="ar"/>
              </w:rPr>
              <w:t>2.</w:t>
            </w:r>
            <w:r>
              <w:rPr>
                <w:rStyle w:val="7"/>
                <w:rFonts w:hint="eastAsia" w:ascii="仿宋" w:hAnsi="仿宋" w:eastAsia="仿宋" w:cs="仿宋"/>
                <w:bCs/>
                <w:color w:val="auto"/>
                <w:sz w:val="21"/>
                <w:szCs w:val="21"/>
                <w:lang w:bidi="ar"/>
              </w:rPr>
              <w:t>《公职律师管理办法》</w:t>
            </w:r>
            <w:r>
              <w:rPr>
                <w:rStyle w:val="8"/>
                <w:rFonts w:hint="eastAsia" w:ascii="仿宋" w:hAnsi="仿宋" w:eastAsia="仿宋" w:cs="仿宋"/>
                <w:bCs/>
                <w:color w:val="auto"/>
                <w:sz w:val="21"/>
                <w:szCs w:val="21"/>
                <w:lang w:bidi="ar"/>
              </w:rPr>
              <w:t>（司发通</w:t>
            </w:r>
            <w:r>
              <w:rPr>
                <w:rStyle w:val="9"/>
                <w:rFonts w:hint="eastAsia" w:ascii="仿宋" w:hAnsi="仿宋" w:eastAsia="仿宋" w:cs="仿宋"/>
                <w:bCs/>
                <w:color w:val="auto"/>
                <w:sz w:val="21"/>
                <w:szCs w:val="21"/>
                <w:lang w:bidi="ar"/>
              </w:rPr>
              <w:t>〔</w:t>
            </w:r>
            <w:r>
              <w:rPr>
                <w:rStyle w:val="8"/>
                <w:rFonts w:hint="eastAsia" w:ascii="仿宋" w:hAnsi="仿宋" w:eastAsia="仿宋" w:cs="仿宋"/>
                <w:bCs/>
                <w:color w:val="auto"/>
                <w:sz w:val="21"/>
                <w:szCs w:val="21"/>
                <w:lang w:bidi="ar"/>
              </w:rPr>
              <w:t>2018</w:t>
            </w:r>
            <w:r>
              <w:rPr>
                <w:rStyle w:val="9"/>
                <w:rFonts w:hint="eastAsia" w:ascii="仿宋" w:hAnsi="仿宋" w:eastAsia="仿宋" w:cs="仿宋"/>
                <w:bCs/>
                <w:color w:val="auto"/>
                <w:sz w:val="21"/>
                <w:szCs w:val="21"/>
                <w:lang w:bidi="ar"/>
              </w:rPr>
              <w:t>〕</w:t>
            </w:r>
            <w:r>
              <w:rPr>
                <w:rStyle w:val="8"/>
                <w:rFonts w:hint="eastAsia" w:ascii="仿宋" w:hAnsi="仿宋" w:eastAsia="仿宋" w:cs="仿宋"/>
                <w:bCs/>
                <w:color w:val="auto"/>
                <w:sz w:val="21"/>
                <w:szCs w:val="21"/>
                <w:lang w:bidi="ar"/>
              </w:rPr>
              <w:t>131号）</w:t>
            </w:r>
            <w:r>
              <w:rPr>
                <w:rStyle w:val="7"/>
                <w:rFonts w:hint="eastAsia" w:ascii="仿宋" w:hAnsi="仿宋" w:eastAsia="仿宋" w:cs="仿宋"/>
                <w:bCs/>
                <w:color w:val="auto"/>
                <w:sz w:val="21"/>
                <w:szCs w:val="21"/>
                <w:lang w:bidi="ar"/>
              </w:rPr>
              <w:br w:type="textWrapping"/>
            </w:r>
            <w:r>
              <w:rPr>
                <w:rStyle w:val="7"/>
                <w:rFonts w:hint="default" w:ascii="仿宋" w:hAnsi="仿宋" w:eastAsia="仿宋" w:cs="仿宋"/>
                <w:bCs/>
                <w:color w:val="auto"/>
                <w:sz w:val="21"/>
                <w:szCs w:val="21"/>
                <w:lang w:bidi="ar"/>
              </w:rPr>
              <w:t>3.</w:t>
            </w:r>
            <w:r>
              <w:rPr>
                <w:rStyle w:val="7"/>
                <w:rFonts w:hint="eastAsia" w:ascii="仿宋" w:hAnsi="仿宋" w:eastAsia="仿宋" w:cs="仿宋"/>
                <w:bCs/>
                <w:color w:val="auto"/>
                <w:sz w:val="21"/>
                <w:szCs w:val="21"/>
                <w:lang w:bidi="ar"/>
              </w:rPr>
              <w:t>《公司律师管理办法》</w:t>
            </w:r>
            <w:r>
              <w:rPr>
                <w:rStyle w:val="8"/>
                <w:rFonts w:hint="eastAsia" w:ascii="仿宋" w:hAnsi="仿宋" w:eastAsia="仿宋" w:cs="仿宋"/>
                <w:bCs/>
                <w:color w:val="auto"/>
                <w:sz w:val="21"/>
                <w:szCs w:val="21"/>
                <w:lang w:bidi="ar"/>
              </w:rPr>
              <w:t>（司发通〔2018〕131号）</w:t>
            </w:r>
            <w:r>
              <w:rPr>
                <w:rStyle w:val="7"/>
                <w:rFonts w:hint="eastAsia" w:ascii="仿宋" w:hAnsi="仿宋" w:eastAsia="仿宋" w:cs="仿宋"/>
                <w:bCs/>
                <w:color w:val="auto"/>
                <w:sz w:val="21"/>
                <w:szCs w:val="21"/>
                <w:lang w:bidi="ar"/>
              </w:rPr>
              <w:br w:type="textWrapping"/>
            </w:r>
            <w:r>
              <w:rPr>
                <w:rStyle w:val="7"/>
                <w:rFonts w:hint="default" w:ascii="仿宋" w:hAnsi="仿宋" w:eastAsia="仿宋" w:cs="仿宋"/>
                <w:bCs/>
                <w:color w:val="auto"/>
                <w:sz w:val="21"/>
                <w:szCs w:val="21"/>
                <w:lang w:bidi="ar"/>
              </w:rPr>
              <w:t>4.</w:t>
            </w:r>
            <w:r>
              <w:rPr>
                <w:rStyle w:val="7"/>
                <w:rFonts w:hint="eastAsia" w:ascii="仿宋" w:hAnsi="仿宋" w:eastAsia="仿宋" w:cs="仿宋"/>
                <w:bCs/>
                <w:color w:val="auto"/>
                <w:sz w:val="21"/>
                <w:szCs w:val="21"/>
                <w:lang w:bidi="ar"/>
              </w:rPr>
              <w:t>《律师和律师事务所执业证书管理办法》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bidi="ar"/>
              </w:rPr>
              <w:t>2</w:t>
            </w:r>
            <w:r>
              <w:rPr>
                <w:rFonts w:hint="eastAsia" w:ascii="仿宋" w:hAnsi="仿宋" w:eastAsia="仿宋" w:cs="仿宋"/>
                <w:bCs/>
                <w:kern w:val="0"/>
                <w:sz w:val="21"/>
                <w:szCs w:val="21"/>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市林草局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国家二级保护陆生野生动物特许猎捕证核发</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《中华人民共和国野生动物保护法》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bidi="ar"/>
              </w:rPr>
              <w:t>2</w:t>
            </w:r>
            <w:r>
              <w:rPr>
                <w:rFonts w:hint="eastAsia" w:ascii="仿宋" w:hAnsi="仿宋" w:eastAsia="仿宋" w:cs="仿宋"/>
                <w:bCs/>
                <w:kern w:val="0"/>
                <w:sz w:val="21"/>
                <w:szCs w:val="21"/>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市林草局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林木采伐许可证核发</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default" w:ascii="仿宋" w:hAnsi="仿宋" w:eastAsia="仿宋" w:cs="仿宋"/>
                <w:bCs/>
                <w:color w:val="auto"/>
                <w:sz w:val="21"/>
                <w:szCs w:val="21"/>
                <w:lang w:bidi="ar"/>
              </w:rPr>
              <w:t>1.</w:t>
            </w:r>
            <w:r>
              <w:rPr>
                <w:rStyle w:val="7"/>
                <w:rFonts w:hint="eastAsia" w:ascii="仿宋" w:hAnsi="仿宋" w:eastAsia="仿宋" w:cs="仿宋"/>
                <w:bCs/>
                <w:color w:val="auto"/>
                <w:sz w:val="21"/>
                <w:szCs w:val="21"/>
                <w:lang w:bidi="ar"/>
              </w:rPr>
              <w:t>《中华人民共和国森林法》</w:t>
            </w:r>
            <w:r>
              <w:rPr>
                <w:rStyle w:val="7"/>
                <w:rFonts w:hint="eastAsia" w:ascii="仿宋" w:hAnsi="仿宋" w:eastAsia="仿宋" w:cs="仿宋"/>
                <w:bCs/>
                <w:color w:val="auto"/>
                <w:sz w:val="21"/>
                <w:szCs w:val="21"/>
                <w:lang w:bidi="ar"/>
              </w:rPr>
              <w:br w:type="textWrapping"/>
            </w:r>
            <w:r>
              <w:rPr>
                <w:rStyle w:val="7"/>
                <w:rFonts w:hint="default" w:ascii="仿宋" w:hAnsi="仿宋" w:eastAsia="仿宋" w:cs="仿宋"/>
                <w:bCs/>
                <w:color w:val="auto"/>
                <w:sz w:val="21"/>
                <w:szCs w:val="21"/>
                <w:lang w:bidi="ar"/>
              </w:rPr>
              <w:t>2.</w:t>
            </w:r>
            <w:r>
              <w:rPr>
                <w:rStyle w:val="7"/>
                <w:rFonts w:hint="eastAsia" w:ascii="仿宋" w:hAnsi="仿宋" w:eastAsia="仿宋" w:cs="仿宋"/>
                <w:bCs/>
                <w:color w:val="auto"/>
                <w:sz w:val="21"/>
                <w:szCs w:val="21"/>
                <w:lang w:bidi="ar"/>
              </w:rPr>
              <w:t>《中华人民共和国森林法实施条例》</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891"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val="en-US" w:eastAsia="zh-CN"/>
              </w:rPr>
            </w:pPr>
            <w:r>
              <w:rPr>
                <w:rFonts w:hint="eastAsia" w:ascii="仿宋" w:hAnsi="仿宋" w:eastAsia="仿宋" w:cs="仿宋"/>
                <w:bCs/>
                <w:kern w:val="0"/>
                <w:sz w:val="21"/>
                <w:szCs w:val="21"/>
                <w:lang w:bidi="ar"/>
              </w:rPr>
              <w:t>2</w:t>
            </w:r>
            <w:r>
              <w:rPr>
                <w:rFonts w:hint="eastAsia" w:ascii="仿宋" w:hAnsi="仿宋" w:eastAsia="仿宋" w:cs="仿宋"/>
                <w:bCs/>
                <w:kern w:val="0"/>
                <w:sz w:val="21"/>
                <w:szCs w:val="21"/>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kern w:val="0"/>
                <w:sz w:val="21"/>
                <w:szCs w:val="21"/>
                <w:lang w:eastAsia="zh-CN" w:bidi="ar"/>
              </w:rPr>
            </w:pPr>
            <w:r>
              <w:rPr>
                <w:rFonts w:hint="eastAsia" w:ascii="仿宋" w:hAnsi="仿宋" w:eastAsia="仿宋" w:cs="仿宋"/>
                <w:bCs/>
                <w:kern w:val="0"/>
                <w:sz w:val="21"/>
                <w:szCs w:val="21"/>
                <w:lang w:eastAsia="zh-CN" w:bidi="ar"/>
              </w:rPr>
              <w:t>市林草局</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权限内出售、购买、利用国家重点保护陆生野生动物及其制品审批</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default" w:ascii="仿宋" w:hAnsi="仿宋" w:eastAsia="仿宋" w:cs="仿宋"/>
                <w:bCs/>
                <w:color w:val="auto"/>
                <w:sz w:val="21"/>
                <w:szCs w:val="21"/>
                <w:lang w:bidi="ar"/>
              </w:rPr>
              <w:t>1.</w:t>
            </w:r>
            <w:r>
              <w:rPr>
                <w:rStyle w:val="7"/>
                <w:rFonts w:hint="eastAsia" w:ascii="仿宋" w:hAnsi="仿宋" w:eastAsia="仿宋" w:cs="仿宋"/>
                <w:bCs/>
                <w:color w:val="auto"/>
                <w:sz w:val="21"/>
                <w:szCs w:val="21"/>
                <w:lang w:bidi="ar"/>
              </w:rPr>
              <w:t>《中华人民共和国野生动物保护法》</w:t>
            </w:r>
            <w:r>
              <w:rPr>
                <w:rStyle w:val="7"/>
                <w:rFonts w:hint="eastAsia" w:ascii="仿宋" w:hAnsi="仿宋" w:eastAsia="仿宋" w:cs="仿宋"/>
                <w:bCs/>
                <w:color w:val="auto"/>
                <w:sz w:val="21"/>
                <w:szCs w:val="21"/>
                <w:lang w:bidi="ar"/>
              </w:rPr>
              <w:br w:type="textWrapping"/>
            </w:r>
            <w:r>
              <w:rPr>
                <w:rStyle w:val="7"/>
                <w:rFonts w:hint="default" w:ascii="仿宋" w:hAnsi="仿宋" w:eastAsia="仿宋" w:cs="仿宋"/>
                <w:bCs/>
                <w:color w:val="auto"/>
                <w:sz w:val="21"/>
                <w:szCs w:val="21"/>
                <w:lang w:bidi="ar"/>
              </w:rPr>
              <w:t>2.</w:t>
            </w:r>
            <w:r>
              <w:rPr>
                <w:rStyle w:val="7"/>
                <w:rFonts w:hint="eastAsia" w:ascii="仿宋" w:hAnsi="仿宋" w:eastAsia="仿宋" w:cs="仿宋"/>
                <w:bCs/>
                <w:color w:val="auto"/>
                <w:sz w:val="21"/>
                <w:szCs w:val="21"/>
                <w:lang w:bidi="ar"/>
              </w:rPr>
              <w:t>《黑龙江省野生动物保护条例》</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val="en-US" w:eastAsia="zh-CN"/>
              </w:rPr>
            </w:pPr>
            <w:r>
              <w:rPr>
                <w:rFonts w:hint="eastAsia" w:ascii="仿宋" w:hAnsi="仿宋" w:eastAsia="仿宋" w:cs="仿宋"/>
                <w:bCs/>
                <w:kern w:val="0"/>
                <w:sz w:val="21"/>
                <w:szCs w:val="21"/>
                <w:lang w:val="en-US" w:eastAsia="zh-CN" w:bidi="ar"/>
              </w:rPr>
              <w:t>25</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市林草局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权限内国家重点保护陆生野生动物人工繁育许可证核发</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《中华人民共和国野生动物保护法》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val="en-US" w:eastAsia="zh-CN"/>
              </w:rPr>
            </w:pPr>
            <w:r>
              <w:rPr>
                <w:rFonts w:hint="eastAsia" w:ascii="仿宋" w:hAnsi="仿宋" w:eastAsia="仿宋" w:cs="仿宋"/>
                <w:bCs/>
                <w:kern w:val="0"/>
                <w:sz w:val="21"/>
                <w:szCs w:val="21"/>
                <w:lang w:val="en-US" w:eastAsia="zh-CN" w:bidi="ar"/>
              </w:rPr>
              <w:t>26</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市林草局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林木种子生产经营许可核发</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《中华人民共和国种子法》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val="en-US" w:eastAsia="zh-CN" w:bidi="ar"/>
              </w:rPr>
              <w:t>27</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市林草局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Style w:val="8"/>
                <w:rFonts w:hint="eastAsia" w:ascii="仿宋" w:hAnsi="仿宋" w:eastAsia="仿宋" w:cs="仿宋"/>
                <w:bCs/>
                <w:color w:val="auto"/>
                <w:sz w:val="21"/>
                <w:szCs w:val="21"/>
                <w:lang w:bidi="ar"/>
              </w:rPr>
              <w:t>权限内</w:t>
            </w:r>
            <w:r>
              <w:rPr>
                <w:rStyle w:val="7"/>
                <w:rFonts w:hint="eastAsia" w:ascii="仿宋" w:hAnsi="仿宋" w:eastAsia="仿宋" w:cs="仿宋"/>
                <w:bCs/>
                <w:color w:val="auto"/>
                <w:sz w:val="21"/>
                <w:szCs w:val="21"/>
                <w:lang w:bidi="ar"/>
              </w:rPr>
              <w:t>采集或者采伐国家重点保护的天然种质资源审批</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《中华人民共和国种子法》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216"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default" w:ascii="仿宋" w:hAnsi="仿宋" w:eastAsia="仿宋" w:cs="仿宋"/>
                <w:bCs/>
                <w:sz w:val="21"/>
                <w:szCs w:val="21"/>
                <w:lang w:val="en-US" w:eastAsia="zh-CN"/>
              </w:rPr>
            </w:pPr>
            <w:r>
              <w:rPr>
                <w:rFonts w:hint="eastAsia" w:ascii="仿宋" w:hAnsi="仿宋" w:eastAsia="仿宋" w:cs="仿宋"/>
                <w:bCs/>
                <w:kern w:val="0"/>
                <w:sz w:val="21"/>
                <w:szCs w:val="21"/>
                <w:lang w:val="en-US" w:eastAsia="zh-CN" w:bidi="ar"/>
              </w:rPr>
              <w:t>28</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市林草局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外国人对国家重点保护陆生野生动物进行野外考察或在野外拍摄电影、录像审批</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《中华人民共和国野生动物保护法》</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default" w:ascii="仿宋" w:hAnsi="仿宋" w:eastAsia="仿宋" w:cs="仿宋"/>
                <w:bCs/>
                <w:sz w:val="21"/>
                <w:szCs w:val="21"/>
                <w:lang w:val="en-US" w:eastAsia="zh-CN"/>
              </w:rPr>
            </w:pPr>
            <w:r>
              <w:rPr>
                <w:rFonts w:hint="eastAsia" w:ascii="仿宋" w:hAnsi="仿宋" w:eastAsia="仿宋" w:cs="仿宋"/>
                <w:bCs/>
                <w:kern w:val="0"/>
                <w:sz w:val="21"/>
                <w:szCs w:val="21"/>
                <w:lang w:val="en-US" w:eastAsia="zh-CN" w:bidi="ar"/>
              </w:rPr>
              <w:t>29</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eastAsia="zh-CN" w:bidi="ar"/>
              </w:rPr>
              <w:t>市林草局</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在国家级风景名胜区内修建缆车、索道等重大建设工程项目选址方案核准</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《风景名胜区条例》</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lang w:eastAsia="zh-CN"/>
              </w:rPr>
            </w:pPr>
          </w:p>
        </w:tc>
      </w:tr>
      <w:tr>
        <w:tblPrEx>
          <w:tblLayout w:type="fixed"/>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default" w:ascii="仿宋" w:hAnsi="仿宋" w:eastAsia="仿宋" w:cs="仿宋"/>
                <w:bCs/>
                <w:sz w:val="21"/>
                <w:szCs w:val="21"/>
                <w:lang w:val="en-US" w:eastAsia="zh-CN"/>
              </w:rPr>
            </w:pPr>
            <w:r>
              <w:rPr>
                <w:rFonts w:hint="eastAsia" w:ascii="仿宋" w:hAnsi="仿宋" w:eastAsia="仿宋" w:cs="仿宋"/>
                <w:bCs/>
                <w:kern w:val="0"/>
                <w:sz w:val="21"/>
                <w:szCs w:val="21"/>
                <w:lang w:val="en-US" w:eastAsia="zh-CN" w:bidi="ar"/>
              </w:rPr>
              <w:t>30</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lang w:eastAsia="zh-CN"/>
              </w:rPr>
            </w:pPr>
            <w:r>
              <w:rPr>
                <w:rFonts w:hint="eastAsia" w:ascii="仿宋" w:hAnsi="仿宋" w:eastAsia="仿宋" w:cs="仿宋"/>
                <w:bCs/>
                <w:kern w:val="0"/>
                <w:sz w:val="21"/>
                <w:szCs w:val="21"/>
                <w:lang w:eastAsia="zh-CN" w:bidi="ar"/>
              </w:rPr>
              <w:t>市</w:t>
            </w:r>
            <w:r>
              <w:rPr>
                <w:rFonts w:hint="eastAsia" w:ascii="仿宋" w:hAnsi="仿宋" w:eastAsia="仿宋" w:cs="仿宋"/>
                <w:bCs/>
                <w:kern w:val="0"/>
                <w:sz w:val="21"/>
                <w:szCs w:val="21"/>
                <w:lang w:bidi="ar"/>
              </w:rPr>
              <w:t>卫生健康委</w:t>
            </w:r>
          </w:p>
        </w:tc>
        <w:tc>
          <w:tcPr>
            <w:tcW w:w="4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乙类大型医用设备配置许可</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仿宋" w:hAnsi="仿宋" w:eastAsia="仿宋" w:cs="仿宋"/>
                <w:bCs/>
                <w:sz w:val="21"/>
                <w:szCs w:val="21"/>
              </w:rPr>
            </w:pPr>
            <w:r>
              <w:rPr>
                <w:rFonts w:hint="eastAsia" w:ascii="仿宋" w:hAnsi="仿宋" w:eastAsia="仿宋" w:cs="仿宋"/>
                <w:bCs/>
                <w:kern w:val="0"/>
                <w:sz w:val="21"/>
                <w:szCs w:val="21"/>
                <w:lang w:bidi="ar"/>
              </w:rPr>
              <w:t>行政许可</w:t>
            </w:r>
          </w:p>
        </w:tc>
        <w:tc>
          <w:tcPr>
            <w:tcW w:w="6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r>
              <w:rPr>
                <w:rStyle w:val="7"/>
                <w:rFonts w:hint="eastAsia" w:ascii="仿宋" w:hAnsi="仿宋" w:eastAsia="仿宋" w:cs="仿宋"/>
                <w:bCs/>
                <w:color w:val="auto"/>
                <w:sz w:val="21"/>
                <w:szCs w:val="21"/>
                <w:lang w:bidi="ar"/>
              </w:rPr>
              <w:t>《医疗器械监督管理条例》</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仿宋" w:hAnsi="仿宋" w:eastAsia="仿宋" w:cs="仿宋"/>
                <w:bCs/>
                <w:sz w:val="21"/>
                <w:szCs w:val="21"/>
              </w:rPr>
            </w:pPr>
          </w:p>
        </w:tc>
      </w:tr>
    </w:tbl>
    <w:p>
      <w:pPr>
        <w:rPr>
          <w:rFonts w:hint="eastAsia"/>
        </w:rPr>
      </w:pPr>
    </w:p>
    <w:p>
      <w:bookmarkStart w:id="0" w:name="_GoBack"/>
      <w:bookmarkEnd w:id="0"/>
    </w:p>
    <w:sectPr>
      <w:pgSz w:w="16783" w:h="11850" w:orient="landscape"/>
      <w:pgMar w:top="1588" w:right="2098" w:bottom="1474" w:left="1984" w:header="851" w:footer="1587" w:gutter="0"/>
      <w:pgBorders>
        <w:top w:val="none" w:sz="0" w:space="0"/>
        <w:left w:val="none" w:sz="0" w:space="0"/>
        <w:bottom w:val="none" w:sz="0" w:space="0"/>
        <w:right w:val="none" w:sz="0" w:space="0"/>
      </w:pgBorders>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方正超大字符集"/>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16B87"/>
    <w:rsid w:val="1C216B87"/>
    <w:rsid w:val="43A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31"/>
    <w:qFormat/>
    <w:uiPriority w:val="0"/>
    <w:rPr>
      <w:rFonts w:hint="eastAsia" w:ascii="宋体" w:hAnsi="宋体" w:eastAsia="宋体" w:cs="宋体"/>
      <w:color w:val="000000"/>
      <w:sz w:val="24"/>
      <w:szCs w:val="24"/>
      <w:u w:val="none"/>
    </w:rPr>
  </w:style>
  <w:style w:type="character" w:customStyle="1" w:styleId="8">
    <w:name w:val="font11"/>
    <w:qFormat/>
    <w:uiPriority w:val="0"/>
    <w:rPr>
      <w:rFonts w:hint="eastAsia" w:ascii="宋体" w:hAnsi="宋体" w:eastAsia="宋体" w:cs="宋体"/>
      <w:color w:val="FF0000"/>
      <w:sz w:val="24"/>
      <w:szCs w:val="24"/>
      <w:u w:val="none"/>
    </w:rPr>
  </w:style>
  <w:style w:type="character" w:customStyle="1" w:styleId="9">
    <w:name w:val="font01"/>
    <w:qFormat/>
    <w:uiPriority w:val="0"/>
    <w:rPr>
      <w:rFonts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新闻处</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2023-05-15T05:27:00Z</dcterms:created>
  <dc:creator>sfb3</dc:creator>
  <cp:lastModifiedBy>sfb3</cp:lastModifiedBy>
  <dcterms:modified xsi:type="dcterms:W3CDTF">2023-05-15T05:29:19Z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