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6"/>
        </w:tabs>
        <w:rPr>
          <w:rFonts w:hint="eastAsia" w:ascii="Times New Roman" w:hAnsi="Times New Roman" w:eastAsia="方正小标宋简体" w:cs="Times New Roman"/>
          <w:color w:val="auto"/>
          <w:sz w:val="44"/>
          <w:szCs w:val="36"/>
          <w:highlight w:val="none"/>
          <w:lang w:val="en-US" w:eastAsia="zh-CN"/>
        </w:rPr>
      </w:pPr>
      <w:r>
        <w:rPr>
          <w:rFonts w:hint="eastAsia" w:ascii="Times New Roman" w:hAnsi="Times New Roman" w:eastAsia="黑体" w:cs="Times New Roman"/>
          <w:color w:val="auto"/>
          <w:szCs w:val="22"/>
          <w:highlight w:val="none"/>
          <w:lang w:val="en-US" w:eastAsia="zh-CN"/>
        </w:rPr>
        <w:t>附件2</w:t>
      </w:r>
    </w:p>
    <w:p>
      <w:pPr>
        <w:keepNext w:val="0"/>
        <w:keepLines w:val="0"/>
        <w:pageBreakBefore w:val="0"/>
        <w:widowControl w:val="0"/>
        <w:tabs>
          <w:tab w:val="left" w:pos="1806"/>
        </w:tabs>
        <w:kinsoku/>
        <w:wordWrap/>
        <w:overflowPunct/>
        <w:topLinePunct w:val="0"/>
        <w:autoSpaceDE/>
        <w:autoSpaceDN/>
        <w:bidi w:val="0"/>
        <w:adjustRightInd/>
        <w:snapToGrid/>
        <w:spacing w:before="156" w:beforeLines="50" w:after="156" w:afterLines="50" w:line="600" w:lineRule="exact"/>
        <w:jc w:val="center"/>
        <w:textAlignment w:val="auto"/>
        <w:outlineLvl w:val="0"/>
        <w:rPr>
          <w:rFonts w:hint="eastAsia"/>
          <w:w w:val="90"/>
          <w:lang w:val="en-US" w:eastAsia="zh-CN"/>
        </w:rPr>
      </w:pPr>
      <w:r>
        <w:rPr>
          <w:rFonts w:hint="eastAsia" w:ascii="Times New Roman" w:hAnsi="Times New Roman" w:eastAsia="方正小标宋简体" w:cs="Times New Roman"/>
          <w:color w:val="auto"/>
          <w:w w:val="90"/>
          <w:sz w:val="44"/>
          <w:szCs w:val="36"/>
          <w:highlight w:val="none"/>
          <w:lang w:val="en-US" w:eastAsia="zh-CN"/>
        </w:rPr>
        <w:t>广东省调整由横琴粤澳深度合作区执行委员会及其工作机构实施的省级行政职权目录（下放类）</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545"/>
        <w:gridCol w:w="1560"/>
        <w:gridCol w:w="2592"/>
        <w:gridCol w:w="2110"/>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pPr>
              <w:keepNext w:val="0"/>
              <w:keepLines w:val="0"/>
              <w:widowControl/>
              <w:suppressLineNumbers w:val="0"/>
              <w:jc w:val="center"/>
              <w:textAlignment w:val="center"/>
              <w:rPr>
                <w:vertAlign w:val="baseline"/>
              </w:rPr>
            </w:pPr>
            <w:r>
              <w:rPr>
                <w:rFonts w:hint="eastAsia" w:ascii="黑体" w:hAnsi="宋体" w:eastAsia="黑体" w:cs="黑体"/>
                <w:i w:val="0"/>
                <w:iCs w:val="0"/>
                <w:color w:val="000000"/>
                <w:kern w:val="0"/>
                <w:sz w:val="24"/>
                <w:szCs w:val="24"/>
                <w:u w:val="none"/>
                <w:lang w:val="en-US" w:eastAsia="zh-CN" w:bidi="ar"/>
              </w:rPr>
              <w:t>序号</w:t>
            </w:r>
          </w:p>
        </w:tc>
        <w:tc>
          <w:tcPr>
            <w:tcW w:w="1545" w:type="dxa"/>
            <w:noWrap w:val="0"/>
            <w:vAlign w:val="center"/>
          </w:tcPr>
          <w:p>
            <w:pPr>
              <w:keepNext w:val="0"/>
              <w:keepLines w:val="0"/>
              <w:widowControl/>
              <w:suppressLineNumbers w:val="0"/>
              <w:jc w:val="center"/>
              <w:textAlignment w:val="center"/>
              <w:rPr>
                <w:vertAlign w:val="baseline"/>
              </w:rPr>
            </w:pPr>
            <w:r>
              <w:rPr>
                <w:rFonts w:hint="eastAsia" w:ascii="黑体" w:hAnsi="宋体" w:eastAsia="黑体" w:cs="黑体"/>
                <w:i w:val="0"/>
                <w:iCs w:val="0"/>
                <w:color w:val="000000"/>
                <w:kern w:val="0"/>
                <w:sz w:val="24"/>
                <w:szCs w:val="24"/>
                <w:u w:val="none"/>
                <w:lang w:val="en-US" w:eastAsia="zh-CN" w:bidi="ar"/>
              </w:rPr>
              <w:t>类别</w:t>
            </w:r>
          </w:p>
        </w:tc>
        <w:tc>
          <w:tcPr>
            <w:tcW w:w="1560" w:type="dxa"/>
            <w:noWrap w:val="0"/>
            <w:vAlign w:val="center"/>
          </w:tcPr>
          <w:p>
            <w:pPr>
              <w:keepNext w:val="0"/>
              <w:keepLines w:val="0"/>
              <w:widowControl/>
              <w:suppressLineNumbers w:val="0"/>
              <w:jc w:val="center"/>
              <w:textAlignment w:val="center"/>
              <w:rPr>
                <w:vertAlign w:val="baseline"/>
              </w:rPr>
            </w:pPr>
            <w:r>
              <w:rPr>
                <w:rFonts w:hint="eastAsia" w:ascii="黑体" w:hAnsi="宋体" w:eastAsia="黑体" w:cs="黑体"/>
                <w:i w:val="0"/>
                <w:iCs w:val="0"/>
                <w:color w:val="000000"/>
                <w:kern w:val="0"/>
                <w:sz w:val="24"/>
                <w:szCs w:val="24"/>
                <w:u w:val="none"/>
                <w:lang w:val="en-US" w:eastAsia="zh-CN" w:bidi="ar"/>
              </w:rPr>
              <w:t>实施单位</w:t>
            </w:r>
          </w:p>
        </w:tc>
        <w:tc>
          <w:tcPr>
            <w:tcW w:w="2592" w:type="dxa"/>
            <w:noWrap w:val="0"/>
            <w:vAlign w:val="center"/>
          </w:tcPr>
          <w:p>
            <w:pPr>
              <w:keepNext w:val="0"/>
              <w:keepLines w:val="0"/>
              <w:widowControl/>
              <w:suppressLineNumbers w:val="0"/>
              <w:jc w:val="center"/>
              <w:textAlignment w:val="center"/>
              <w:rPr>
                <w:vertAlign w:val="baseline"/>
              </w:rPr>
            </w:pPr>
            <w:r>
              <w:rPr>
                <w:rFonts w:hint="eastAsia" w:ascii="黑体" w:hAnsi="宋体" w:eastAsia="黑体" w:cs="黑体"/>
                <w:i w:val="0"/>
                <w:iCs w:val="0"/>
                <w:color w:val="000000"/>
                <w:kern w:val="0"/>
                <w:sz w:val="24"/>
                <w:szCs w:val="24"/>
                <w:u w:val="none"/>
                <w:lang w:val="en-US" w:eastAsia="zh-CN" w:bidi="ar"/>
              </w:rPr>
              <w:t>省级事项名称</w:t>
            </w:r>
          </w:p>
        </w:tc>
        <w:tc>
          <w:tcPr>
            <w:tcW w:w="2110" w:type="dxa"/>
            <w:noWrap w:val="0"/>
            <w:vAlign w:val="center"/>
          </w:tcPr>
          <w:p>
            <w:pPr>
              <w:keepNext w:val="0"/>
              <w:keepLines w:val="0"/>
              <w:widowControl/>
              <w:suppressLineNumbers w:val="0"/>
              <w:jc w:val="center"/>
              <w:textAlignment w:val="center"/>
              <w:rPr>
                <w:vertAlign w:val="baseline"/>
              </w:rPr>
            </w:pPr>
            <w:r>
              <w:rPr>
                <w:rFonts w:hint="eastAsia" w:ascii="黑体" w:hAnsi="宋体" w:eastAsia="黑体" w:cs="黑体"/>
                <w:i w:val="0"/>
                <w:iCs w:val="0"/>
                <w:color w:val="000000"/>
                <w:kern w:val="0"/>
                <w:sz w:val="24"/>
                <w:szCs w:val="24"/>
                <w:u w:val="none"/>
                <w:lang w:val="en-US" w:eastAsia="zh-CN" w:bidi="ar"/>
              </w:rPr>
              <w:t>承接单位</w:t>
            </w:r>
          </w:p>
        </w:tc>
        <w:tc>
          <w:tcPr>
            <w:tcW w:w="1064" w:type="dxa"/>
            <w:noWrap w:val="0"/>
            <w:vAlign w:val="center"/>
          </w:tcPr>
          <w:p>
            <w:pPr>
              <w:keepNext w:val="0"/>
              <w:keepLines w:val="0"/>
              <w:widowControl/>
              <w:suppressLineNumbers w:val="0"/>
              <w:jc w:val="center"/>
              <w:textAlignment w:val="center"/>
              <w:rPr>
                <w:vertAlign w:val="baseli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1</w:t>
            </w:r>
          </w:p>
        </w:tc>
        <w:tc>
          <w:tcPr>
            <w:tcW w:w="1545" w:type="dxa"/>
            <w:noWrap w:val="0"/>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其他行政权力</w:t>
            </w:r>
          </w:p>
        </w:tc>
        <w:tc>
          <w:tcPr>
            <w:tcW w:w="1560" w:type="dxa"/>
            <w:noWrap w:val="0"/>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省发展改革委</w:t>
            </w:r>
          </w:p>
        </w:tc>
        <w:tc>
          <w:tcPr>
            <w:tcW w:w="2592" w:type="dxa"/>
            <w:noWrap w:val="0"/>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企业投资项目备案</w:t>
            </w:r>
          </w:p>
        </w:tc>
        <w:tc>
          <w:tcPr>
            <w:tcW w:w="2110" w:type="dxa"/>
            <w:noWrap w:val="0"/>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城市规划和建设局</w:t>
            </w:r>
          </w:p>
        </w:tc>
        <w:tc>
          <w:tcPr>
            <w:tcW w:w="1064" w:type="dxa"/>
            <w:noWrap w:val="0"/>
            <w:vAlign w:val="center"/>
          </w:tcPr>
          <w:p>
            <w:pPr>
              <w:jc w:val="lef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2</w:t>
            </w:r>
          </w:p>
        </w:tc>
        <w:tc>
          <w:tcPr>
            <w:tcW w:w="1545" w:type="dxa"/>
            <w:noWrap w:val="0"/>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行政确认</w:t>
            </w:r>
          </w:p>
        </w:tc>
        <w:tc>
          <w:tcPr>
            <w:tcW w:w="1560" w:type="dxa"/>
            <w:noWrap w:val="0"/>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省科技厅</w:t>
            </w:r>
          </w:p>
        </w:tc>
        <w:tc>
          <w:tcPr>
            <w:tcW w:w="2592" w:type="dxa"/>
            <w:noWrap w:val="0"/>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外籍高层次人才认定</w:t>
            </w:r>
          </w:p>
        </w:tc>
        <w:tc>
          <w:tcPr>
            <w:tcW w:w="2110" w:type="dxa"/>
            <w:noWrap w:val="0"/>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经济发展局</w:t>
            </w:r>
          </w:p>
        </w:tc>
        <w:tc>
          <w:tcPr>
            <w:tcW w:w="1064" w:type="dxa"/>
            <w:noWrap w:val="0"/>
            <w:vAlign w:val="center"/>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行政确认</w:t>
            </w:r>
          </w:p>
        </w:tc>
        <w:tc>
          <w:tcPr>
            <w:tcW w:w="15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省科技厅</w:t>
            </w:r>
          </w:p>
        </w:tc>
        <w:tc>
          <w:tcPr>
            <w:tcW w:w="259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港澳台高层次人才认定</w:t>
            </w: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经济发展局</w:t>
            </w:r>
          </w:p>
        </w:tc>
        <w:tc>
          <w:tcPr>
            <w:tcW w:w="1064" w:type="dxa"/>
            <w:noWrap w:val="0"/>
            <w:vAlign w:val="center"/>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5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行政许可</w:t>
            </w:r>
          </w:p>
        </w:tc>
        <w:tc>
          <w:tcPr>
            <w:tcW w:w="15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省交通运输厅</w:t>
            </w:r>
          </w:p>
        </w:tc>
        <w:tc>
          <w:tcPr>
            <w:tcW w:w="259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更新采伐护路林审批</w:t>
            </w:r>
          </w:p>
        </w:tc>
        <w:tc>
          <w:tcPr>
            <w:tcW w:w="211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城市规划和建设局</w:t>
            </w:r>
          </w:p>
        </w:tc>
        <w:tc>
          <w:tcPr>
            <w:tcW w:w="1064" w:type="dxa"/>
            <w:noWrap w:val="0"/>
            <w:vAlign w:val="center"/>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5</w:t>
            </w:r>
          </w:p>
        </w:tc>
        <w:tc>
          <w:tcPr>
            <w:tcW w:w="1545" w:type="dxa"/>
            <w:noWrap w:val="0"/>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行政许可</w:t>
            </w:r>
          </w:p>
        </w:tc>
        <w:tc>
          <w:tcPr>
            <w:tcW w:w="1560" w:type="dxa"/>
            <w:noWrap w:val="0"/>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省交通运输厅</w:t>
            </w:r>
          </w:p>
        </w:tc>
        <w:tc>
          <w:tcPr>
            <w:tcW w:w="2592" w:type="dxa"/>
            <w:noWrap w:val="0"/>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涉路施工许可</w:t>
            </w:r>
          </w:p>
        </w:tc>
        <w:tc>
          <w:tcPr>
            <w:tcW w:w="2110" w:type="dxa"/>
            <w:noWrap w:val="0"/>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城市规划和建设局</w:t>
            </w:r>
          </w:p>
        </w:tc>
        <w:tc>
          <w:tcPr>
            <w:tcW w:w="1064" w:type="dxa"/>
            <w:noWrap w:val="0"/>
            <w:vAlign w:val="center"/>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6</w:t>
            </w:r>
          </w:p>
        </w:tc>
        <w:tc>
          <w:tcPr>
            <w:tcW w:w="1545" w:type="dxa"/>
            <w:noWrap w:val="0"/>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其他行政权力</w:t>
            </w:r>
          </w:p>
        </w:tc>
        <w:tc>
          <w:tcPr>
            <w:tcW w:w="1560" w:type="dxa"/>
            <w:noWrap w:val="0"/>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省交通运输厅</w:t>
            </w:r>
          </w:p>
        </w:tc>
        <w:tc>
          <w:tcPr>
            <w:tcW w:w="25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vertAlign w:val="baseline"/>
              </w:rPr>
            </w:pPr>
            <w:r>
              <w:rPr>
                <w:rFonts w:hint="eastAsia" w:ascii="宋体" w:hAnsi="宋体" w:eastAsia="宋体" w:cs="宋体"/>
                <w:i w:val="0"/>
                <w:iCs w:val="0"/>
                <w:color w:val="000000"/>
                <w:kern w:val="0"/>
                <w:sz w:val="22"/>
                <w:szCs w:val="22"/>
                <w:u w:val="none"/>
                <w:lang w:val="en-US" w:eastAsia="zh-CN" w:bidi="ar"/>
              </w:rPr>
              <w:t>公路两侧广告标牌设施规划</w:t>
            </w:r>
          </w:p>
        </w:tc>
        <w:tc>
          <w:tcPr>
            <w:tcW w:w="2110" w:type="dxa"/>
            <w:noWrap w:val="0"/>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城市规划和建设局</w:t>
            </w:r>
          </w:p>
        </w:tc>
        <w:tc>
          <w:tcPr>
            <w:tcW w:w="1064" w:type="dxa"/>
            <w:noWrap w:val="0"/>
            <w:vAlign w:val="center"/>
          </w:tcPr>
          <w:p>
            <w:pPr>
              <w:rPr>
                <w:vertAlign w:val="baseline"/>
              </w:rPr>
            </w:pPr>
          </w:p>
        </w:tc>
      </w:tr>
    </w:tbl>
    <w:p>
      <w:pPr>
        <w:rPr>
          <w:rFonts w:hint="eastAsia"/>
          <w:lang w:val="en-US" w:eastAsia="zh-CN"/>
        </w:rPr>
      </w:pPr>
    </w:p>
    <w:p>
      <w:bookmarkStart w:id="0" w:name="_GoBack"/>
      <w:bookmarkEnd w:id="0"/>
    </w:p>
    <w:sectPr>
      <w:headerReference r:id="rId3" w:type="default"/>
      <w:footerReference r:id="rId4" w:type="default"/>
      <w:pgSz w:w="11906" w:h="16838"/>
      <w:pgMar w:top="1757" w:right="1474" w:bottom="1757" w:left="1474" w:header="851" w:footer="1417" w:gutter="0"/>
      <w:cols w:space="720" w:num="1"/>
      <w:rtlGutter w:val="0"/>
      <w:docGrid w:type="linesAndChars" w:linePitch="579" w:charSpace="-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Align="top"/>
      <w:pBdr>
        <w:between w:val="none" w:color="auto" w:sz="0" w:space="0"/>
      </w:pBdr>
      <w:ind w:left="323" w:leftChars="101" w:right="323" w:rightChars="101"/>
      <w:jc w:val="right"/>
      <w:rPr>
        <w:sz w:val="28"/>
      </w:rPr>
    </w:pPr>
    <w:r>
      <w:rPr>
        <w:rStyle w:val="7"/>
        <w:rFonts w:hint="eastAsia"/>
        <w:sz w:val="28"/>
      </w:rPr>
      <w:t>—</w:t>
    </w: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1</w:t>
    </w:r>
    <w:r>
      <w:rPr>
        <w:rFonts w:hint="eastAsia" w:ascii="宋体" w:hAnsi="宋体" w:eastAsia="宋体"/>
        <w:sz w:val="28"/>
      </w:rPr>
      <w:fldChar w:fldCharType="end"/>
    </w:r>
    <w:r>
      <w:rPr>
        <w:rStyle w:val="7"/>
        <w:rFonts w:hint="eastAsia" w:ascii="宋体" w:hAnsi="宋体" w:eastAsia="宋体"/>
        <w:sz w:val="28"/>
      </w:rPr>
      <w:t xml:space="preserve"> </w:t>
    </w:r>
    <w:r>
      <w:rPr>
        <w:rStyle w:val="7"/>
        <w:rFonts w:hint="eastAsia"/>
        <w:sz w:val="28"/>
      </w:rPr>
      <w:t>—</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yNzI5ZDg1NzZkNjJhNWJhZjE1MmE4MTFmYmIwOTUifQ=="/>
  </w:docVars>
  <w:rsids>
    <w:rsidRoot w:val="69915C80"/>
    <w:rsid w:val="69915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Normal Indent1"/>
    <w:basedOn w:val="1"/>
    <w:qFormat/>
    <w:uiPriority w:val="0"/>
    <w:pPr>
      <w:spacing w:line="240" w:lineRule="auto"/>
      <w:ind w:firstLine="420" w:firstLineChars="200"/>
    </w:pPr>
    <w:rPr>
      <w:rFonts w:ascii="Times New Roman" w:hAnsi="Times New Roman" w:eastAsia="宋体" w:cs="Times New Roman"/>
      <w:sz w:val="21"/>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2023-05-16T12:03:00Z</dcterms:created>
  <dc:creator>zhujian</dc:creator>
  <cp:lastModifiedBy>zhujian</cp:lastModifiedBy>
  <dcterms:modified xsi:type="dcterms:W3CDTF">2023-05-16T12:07:53Z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FB4F7C88CDFF4B43857DA68972D69938_11</vt:lpwstr>
  </property>
</Properties>
</file>