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河北省人民政府决定废止的省政府规章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黑体" w:hAnsi="黑体" w:eastAsia="黑体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河北省全社会节约用水若干规定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（1998年9月22日河北省人民政府令〔1998〕第12号公布　根据2010年11月30日河北省人民政府令〔2010〕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第10号修正）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  <w:t>二、河北省流动人口计划生育管理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（2001年2月13日河北省人民政府令〔2001〕第1号公布　根据2010年11月30日河北省人民政府令〔2010〕第10号第一次修正　根据2013年5月10日河北省人民政府令〔2013〕第2号第二次修正　根据2014年1月16日河北省人民政府令〔2014〕第2号第三次修正）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河北省罚没财物管理办法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（2001年2月21日河北省人民政府令〔2001〕第7号公布　根据2002年9月24日河北省人民政府令〔2002〕第16号第一次修正　根据2014年1月16日河北省人民政府令〔2014〕第2号第二次修正　根据2019年12月28日河北省人民政府令〔2019〕第11号第三次修正）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  <w:t>四、河北省行政执法和行政执法监督规定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（2003年11月28日河北省人民政府令〔2003〕第10号公布　根据2010年11月30日河北省人民政府令〔2010〕第10号修正）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河北省水资源费征收使用管理办法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（2010年12月25日河北省人民政府令〔2010〕第16号公布）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河北省达标排污许可管理办法（试行）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（2014年12月4日河北省人民政府令〔2014〕第12号公布　根据2019年12月28日河北省人民政府令〔2019〕第11号修正）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河北省长城保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护办法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（2016年12月17日河北省人民政府令〔2016〕第6号公布）</w:t>
      </w:r>
    </w:p>
    <w:p>
      <w:pPr>
        <w:shd w:val="clear" w:color="auto" w:fill="FFFFFF"/>
        <w:snapToGrid w:val="0"/>
        <w:spacing w:line="44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264B5"/>
    <w:rsid w:val="2C92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eastAsia="宋体" w:cs="宋体"/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方正仿宋_GBK" w:hAnsi="方正仿宋_GBK" w:cs="宋体"/>
      <w:color w:val="000000"/>
      <w:kern w:val="0"/>
      <w:sz w:val="24"/>
      <w:szCs w:val="24"/>
    </w:rPr>
  </w:style>
  <w:style w:type="paragraph" w:customStyle="1" w:styleId="6">
    <w:name w:val="纯文本1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新闻处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2023-05-31T07:40:00Z</dcterms:created>
  <dc:creator>sfb3</dc:creator>
  <cp:lastModifiedBy>sfb3</cp:lastModifiedBy>
  <dcterms:modified xsi:type="dcterms:W3CDTF">2023-05-31T07:40:53Z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