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4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adjustRightInd w:val="0"/>
        <w:snapToGrid w:val="0"/>
        <w:spacing w:line="70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本溪市人民政府决定</w:t>
      </w:r>
      <w:r>
        <w:rPr>
          <w:rFonts w:ascii="宋体" w:hAnsi="宋体"/>
          <w:b/>
          <w:sz w:val="44"/>
          <w:szCs w:val="44"/>
        </w:rPr>
        <w:t>废止的市政府行政规范性文件目录</w:t>
      </w:r>
      <w:bookmarkEnd w:id="0"/>
    </w:p>
    <w:p>
      <w:pPr>
        <w:adjustRightInd w:val="0"/>
        <w:snapToGrid w:val="0"/>
        <w:spacing w:line="7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2"/>
        <w:tblW w:w="9773" w:type="dxa"/>
        <w:tblInd w:w="-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696"/>
        <w:gridCol w:w="1627"/>
        <w:gridCol w:w="4119"/>
        <w:gridCol w:w="1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发文代号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承办部门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文件标题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印发日期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本政办发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〔2021〕19号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市民政局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本溪市人民政府办公厅关于提高城乡居民最低生活保障、特困人员救助供养、孤儿基本生活养育和60年代精简退职职工生活补助标准的通知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2021.5.31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本政发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〔2018〕18号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市市场监督管理局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本溪市人民政府关于印发本溪市全面推开“证照分离”改革实施方案的通知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2018.12.18</w:t>
            </w: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red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red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red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red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red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red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red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red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red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red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red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red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red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7B156B43"/>
    <w:rsid w:val="1F747AEB"/>
    <w:rsid w:val="60AC2E72"/>
    <w:rsid w:val="728A01C5"/>
    <w:rsid w:val="728C5880"/>
    <w:rsid w:val="782A7405"/>
    <w:rsid w:val="7B15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199</Characters>
  <Lines>0</Lines>
  <Paragraphs>0</Paragraphs>
  <TotalTime>0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2023-07-04T01:42:00Z</dcterms:created>
  <dc:creator>Snail  walk(慢节奏)</dc:creator>
  <cp:lastModifiedBy>Snail  walk(慢节奏)</cp:lastModifiedBy>
  <dcterms:modified xsi:type="dcterms:W3CDTF">2023-07-04T01:43:03Z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253B34C993E74026BDC30DC1ADE7354A_11</vt:lpwstr>
  </property>
</Properties>
</file>