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rPr>
          <w:rFonts w:hint="eastAsia" w:eastAsia="黑体" w:cs="黑体"/>
          <w:color w:val="000000"/>
          <w:sz w:val="30"/>
          <w:szCs w:val="30"/>
          <w:lang w:bidi="ar-SA"/>
        </w:rPr>
      </w:pPr>
      <w:r>
        <w:rPr>
          <w:rFonts w:hint="eastAsia" w:eastAsia="黑体" w:cs="黑体"/>
          <w:color w:val="000000"/>
          <w:sz w:val="30"/>
          <w:szCs w:val="30"/>
          <w:lang w:bidi="ar-SA"/>
        </w:rPr>
        <w:t>附件</w:t>
      </w:r>
    </w:p>
    <w:p>
      <w:pPr>
        <w:pStyle w:val="3"/>
        <w:widowControl/>
        <w:spacing w:line="560" w:lineRule="exact"/>
        <w:rPr>
          <w:rFonts w:hint="eastAsia" w:eastAsia="黑体" w:cs="黑体"/>
          <w:color w:val="000000"/>
          <w:sz w:val="32"/>
          <w:szCs w:val="32"/>
          <w:lang w:bidi="ar-SA"/>
        </w:rPr>
      </w:pPr>
    </w:p>
    <w:p>
      <w:pPr>
        <w:pStyle w:val="3"/>
        <w:widowControl/>
        <w:spacing w:line="560" w:lineRule="exact"/>
        <w:jc w:val="center"/>
        <w:rPr>
          <w:rFonts w:hint="eastAsia" w:ascii="方正小标宋_GBK" w:eastAsia="方正小标宋_GBK" w:cs="方正小标宋_GBK"/>
          <w:color w:val="000000"/>
          <w:sz w:val="40"/>
          <w:szCs w:val="40"/>
          <w:lang w:bidi="ar-SA"/>
        </w:rPr>
      </w:pPr>
      <w:r>
        <w:rPr>
          <w:rFonts w:hint="eastAsia" w:ascii="方正小标宋_GBK" w:eastAsia="方正小标宋_GBK" w:cs="方正小标宋_GBK"/>
          <w:color w:val="000000"/>
          <w:sz w:val="40"/>
          <w:szCs w:val="40"/>
          <w:lang w:bidi="ar-SA"/>
        </w:rPr>
        <w:t>海南省人民政府决定委托实施的</w:t>
      </w:r>
      <w:r>
        <w:rPr>
          <w:rFonts w:hint="eastAsia" w:ascii="方正小标宋_GBK" w:eastAsia="方正小标宋_GBK" w:cs="方正小标宋_GBK"/>
          <w:color w:val="000000"/>
          <w:sz w:val="40"/>
          <w:szCs w:val="40"/>
          <w:lang w:eastAsia="zh-CN" w:bidi="ar-SA"/>
        </w:rPr>
        <w:t>部分</w:t>
      </w:r>
      <w:r>
        <w:rPr>
          <w:rFonts w:hint="eastAsia" w:ascii="方正小标宋_GBK" w:eastAsia="方正小标宋_GBK" w:cs="方正小标宋_GBK"/>
          <w:color w:val="000000"/>
          <w:sz w:val="40"/>
          <w:szCs w:val="40"/>
          <w:lang w:bidi="ar-SA"/>
        </w:rPr>
        <w:t>省级</w:t>
      </w:r>
    </w:p>
    <w:p>
      <w:pPr>
        <w:pStyle w:val="3"/>
        <w:widowControl/>
        <w:spacing w:after="156" w:line="560" w:lineRule="exact"/>
        <w:jc w:val="center"/>
        <w:rPr>
          <w:rFonts w:hint="eastAsia" w:ascii="方正小标宋_GBK" w:eastAsia="方正小标宋_GBK" w:cs="方正小标宋_GBK"/>
          <w:color w:val="000000"/>
          <w:sz w:val="40"/>
          <w:szCs w:val="40"/>
          <w:lang w:bidi="ar-SA"/>
        </w:rPr>
      </w:pPr>
      <w:r>
        <w:rPr>
          <w:rFonts w:hint="eastAsia" w:ascii="方正小标宋_GBK" w:eastAsia="方正小标宋_GBK" w:cs="方正小标宋_GBK"/>
          <w:color w:val="000000"/>
          <w:sz w:val="40"/>
          <w:szCs w:val="40"/>
          <w:lang w:bidi="ar-SA"/>
        </w:rPr>
        <w:t>行政审批事项清单</w:t>
      </w:r>
    </w:p>
    <w:tbl>
      <w:tblPr>
        <w:tblStyle w:val="4"/>
        <w:tblW w:w="9373" w:type="dxa"/>
        <w:tblInd w:w="-275" w:type="dxa"/>
        <w:tblLayout w:type="fixed"/>
        <w:tblCellMar>
          <w:top w:w="0" w:type="dxa"/>
          <w:left w:w="28" w:type="dxa"/>
          <w:bottom w:w="0" w:type="dxa"/>
          <w:right w:w="28" w:type="dxa"/>
        </w:tblCellMar>
      </w:tblPr>
      <w:tblGrid>
        <w:gridCol w:w="429"/>
        <w:gridCol w:w="2425"/>
        <w:gridCol w:w="2733"/>
        <w:gridCol w:w="1419"/>
        <w:gridCol w:w="1734"/>
        <w:gridCol w:w="633"/>
      </w:tblGrid>
      <w:tr>
        <w:tblPrEx>
          <w:tblLayout w:type="fixed"/>
          <w:tblCellMar>
            <w:top w:w="0" w:type="dxa"/>
            <w:left w:w="28" w:type="dxa"/>
            <w:bottom w:w="0" w:type="dxa"/>
            <w:right w:w="28" w:type="dxa"/>
          </w:tblCellMar>
        </w:tblPrEx>
        <w:trPr>
          <w:trHeight w:val="567" w:hRule="atLeast"/>
          <w:tblHead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s="宋体"/>
                <w:color w:val="000000"/>
                <w:sz w:val="24"/>
                <w:szCs w:val="24"/>
                <w:lang w:bidi="ar-SA"/>
              </w:rPr>
            </w:pPr>
            <w:r>
              <w:rPr>
                <w:rFonts w:hint="eastAsia" w:ascii="Times New Roman" w:hAnsi="Times New Roman" w:eastAsia="黑体" w:cs="宋体"/>
                <w:color w:val="000000"/>
                <w:kern w:val="0"/>
                <w:sz w:val="24"/>
                <w:szCs w:val="24"/>
                <w:lang w:bidi="ar"/>
              </w:rPr>
              <w:t>序号</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s="宋体"/>
                <w:color w:val="000000"/>
                <w:sz w:val="24"/>
                <w:szCs w:val="24"/>
                <w:lang w:bidi="ar-SA"/>
              </w:rPr>
            </w:pPr>
            <w:r>
              <w:rPr>
                <w:rFonts w:hint="eastAsia" w:ascii="Times New Roman" w:hAnsi="Times New Roman" w:eastAsia="黑体" w:cs="宋体"/>
                <w:color w:val="000000"/>
                <w:kern w:val="0"/>
                <w:sz w:val="24"/>
                <w:szCs w:val="24"/>
                <w:lang w:bidi="ar"/>
              </w:rPr>
              <w:t>事项名称</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s="宋体"/>
                <w:color w:val="000000"/>
                <w:sz w:val="24"/>
                <w:szCs w:val="24"/>
                <w:lang w:bidi="ar-SA"/>
              </w:rPr>
            </w:pPr>
            <w:r>
              <w:rPr>
                <w:rFonts w:hint="eastAsia" w:ascii="Times New Roman" w:hAnsi="Times New Roman" w:eastAsia="黑体" w:cs="宋体"/>
                <w:color w:val="000000"/>
                <w:kern w:val="0"/>
                <w:sz w:val="24"/>
                <w:szCs w:val="24"/>
                <w:lang w:bidi="ar"/>
              </w:rPr>
              <w:t>原实施机关</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s="宋体"/>
                <w:color w:val="000000"/>
                <w:sz w:val="24"/>
                <w:szCs w:val="24"/>
                <w:lang w:bidi="ar-SA"/>
              </w:rPr>
            </w:pPr>
            <w:r>
              <w:rPr>
                <w:rFonts w:hint="eastAsia" w:ascii="Times New Roman" w:hAnsi="Times New Roman" w:eastAsia="黑体" w:cs="宋体"/>
                <w:color w:val="000000"/>
                <w:kern w:val="0"/>
                <w:sz w:val="24"/>
                <w:szCs w:val="24"/>
                <w:lang w:bidi="ar"/>
              </w:rPr>
              <w:t>承接机关</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黑体" w:cs="宋体"/>
                <w:color w:val="000000"/>
                <w:sz w:val="24"/>
                <w:szCs w:val="24"/>
                <w:lang w:bidi="ar-SA"/>
              </w:rPr>
            </w:pPr>
            <w:r>
              <w:rPr>
                <w:rFonts w:hint="eastAsia" w:ascii="Times New Roman" w:hAnsi="Times New Roman" w:eastAsia="黑体" w:cs="宋体"/>
                <w:color w:val="000000"/>
                <w:kern w:val="0"/>
                <w:sz w:val="24"/>
                <w:szCs w:val="24"/>
                <w:lang w:bidi="ar"/>
              </w:rPr>
              <w:t>调整方式</w:t>
            </w:r>
          </w:p>
        </w:tc>
      </w:tr>
      <w:tr>
        <w:tblPrEx>
          <w:tblLayout w:type="fixed"/>
          <w:tblCellMar>
            <w:top w:w="0" w:type="dxa"/>
            <w:left w:w="28" w:type="dxa"/>
            <w:bottom w:w="0" w:type="dxa"/>
            <w:right w:w="28" w:type="dxa"/>
          </w:tblCellMar>
        </w:tblPrEx>
        <w:trPr>
          <w:trHeight w:val="567" w:hRule="atLeast"/>
        </w:trPr>
        <w:tc>
          <w:tcPr>
            <w:tcW w:w="4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1</w:t>
            </w:r>
          </w:p>
        </w:tc>
        <w:tc>
          <w:tcPr>
            <w:tcW w:w="24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市县总体规划（国土空间总体规划）调整审批</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省级行使的规划调整审批</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省人民政府、省自然资源和规划厅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儋州市人民政府</w:t>
            </w:r>
          </w:p>
        </w:tc>
        <w:tc>
          <w:tcPr>
            <w:tcW w:w="6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616" w:hRule="atLeast"/>
        </w:trPr>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425"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政府投资的公共服务设施用地、农村村民宅基地用地规划调整审批（不含</w:t>
            </w:r>
            <w:r>
              <w:rPr>
                <w:rFonts w:hint="eastAsia" w:ascii="Times New Roman" w:hAnsi="Times New Roman" w:eastAsia="仿宋_GB2312" w:cs="宋体"/>
                <w:color w:val="000000"/>
                <w:kern w:val="0"/>
                <w:sz w:val="24"/>
                <w:szCs w:val="24"/>
                <w:lang w:bidi="ar-SA"/>
              </w:rPr>
              <w:t>跨市县项目</w:t>
            </w:r>
            <w:r>
              <w:rPr>
                <w:rFonts w:hint="eastAsia" w:ascii="Times New Roman" w:hAnsi="Times New Roman" w:eastAsia="仿宋_GB2312" w:cs="宋体"/>
                <w:color w:val="000000"/>
                <w:kern w:val="0"/>
                <w:sz w:val="24"/>
                <w:szCs w:val="24"/>
                <w:lang w:bidi="ar"/>
              </w:rPr>
              <w:t>）</w:t>
            </w: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各市、县、自治县人民政府</w:t>
            </w:r>
          </w:p>
        </w:tc>
        <w:tc>
          <w:tcPr>
            <w:tcW w:w="633"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blPrEx>
          <w:tblLayout w:type="fixed"/>
          <w:tblCellMar>
            <w:top w:w="0" w:type="dxa"/>
            <w:left w:w="28" w:type="dxa"/>
            <w:bottom w:w="0" w:type="dxa"/>
            <w:right w:w="28" w:type="dxa"/>
          </w:tblCellMar>
        </w:tblPrEx>
        <w:trPr>
          <w:trHeight w:val="2174"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2</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重要规划控制区详细规划审批（不含木兰湾新城、博鳌亚洲论坛及周边地区、龙沐湾、莺歌海镇区和黄流镇区外的龙腾湾、九所镇区外的龙栖湾等5个重要规划控制区和其它重要规划控制区涉及的自然保护地范围）</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重要规划控制区所在市、县、自治县人民政府</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082"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3</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重要规划控制区详细规划调整审批（</w:t>
            </w:r>
            <w:r>
              <w:rPr>
                <w:rFonts w:hint="eastAsia" w:ascii="Times New Roman" w:hAnsi="Times New Roman" w:eastAsia="仿宋_GB2312" w:cs="宋体"/>
                <w:color w:val="auto"/>
                <w:kern w:val="0"/>
                <w:sz w:val="24"/>
                <w:szCs w:val="24"/>
                <w:lang w:bidi="ar"/>
              </w:rPr>
              <w:t>涉及</w:t>
            </w:r>
            <w:r>
              <w:rPr>
                <w:rFonts w:hint="eastAsia" w:ascii="Times New Roman" w:hAnsi="Times New Roman" w:eastAsia="仿宋_GB2312" w:cs="宋体"/>
                <w:color w:val="000000"/>
                <w:kern w:val="0"/>
                <w:sz w:val="24"/>
                <w:szCs w:val="24"/>
                <w:lang w:bidi="ar"/>
              </w:rPr>
              <w:t>海岸带陆域200米范围历史遗留问题项目）</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各市、县、自治县人民政府</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634"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4</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占用林地审批（占用防护林林地、特殊用途林林地面积10公顷以下，用材林、经济林、薪炭林林地及其采伐迹地面积35公顷以下，其他林地面积70公顷以下）</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各市、县、自治县自然资源和规划主管部门</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kern w:val="0"/>
                <w:sz w:val="24"/>
                <w:szCs w:val="24"/>
                <w:lang w:bidi="ar"/>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828"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5</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农用地转用、未利用地转用与土地征收及调整农用地转用批准文件中明确的土地建设用途的审批（不含跨市县、占用永久基本农田、国务院授权省政府实施的土地征收、转用审批）</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省人民政府</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各市、县、自治县人民政府</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567"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6</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土地征收成片开发方案审批</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省人民政府</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海口市、三亚市、儋州市人民政府</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946"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7</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海域使用审批（不含围填海项目、</w:t>
            </w:r>
            <w:r>
              <w:rPr>
                <w:rFonts w:hint="eastAsia" w:ascii="Times New Roman" w:hAnsi="Times New Roman" w:eastAsia="仿宋_GB2312" w:cs="宋体"/>
                <w:color w:val="000000"/>
                <w:kern w:val="0"/>
                <w:sz w:val="24"/>
                <w:szCs w:val="24"/>
                <w:lang w:bidi="ar-SA"/>
              </w:rPr>
              <w:t>跨市县海域使用项目</w:t>
            </w:r>
            <w:r>
              <w:rPr>
                <w:rFonts w:hint="eastAsia" w:ascii="Times New Roman" w:hAnsi="Times New Roman" w:eastAsia="仿宋_GB2312" w:cs="宋体"/>
                <w:color w:val="000000"/>
                <w:kern w:val="0"/>
                <w:sz w:val="24"/>
                <w:szCs w:val="24"/>
                <w:lang w:bidi="ar"/>
              </w:rPr>
              <w:t>）</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省人民政府</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沿海市、县、自治县人民政府</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270"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8</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采矿权抵押备案</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海口市、三亚市、儋州市自然资源和规划主管部门</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r>
        <w:tblPrEx>
          <w:tblLayout w:type="fixed"/>
          <w:tblCellMar>
            <w:top w:w="0" w:type="dxa"/>
            <w:left w:w="28" w:type="dxa"/>
            <w:bottom w:w="0" w:type="dxa"/>
            <w:right w:w="28" w:type="dxa"/>
          </w:tblCellMar>
        </w:tblPrEx>
        <w:trPr>
          <w:trHeight w:val="1260"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9</w:t>
            </w:r>
          </w:p>
        </w:tc>
        <w:tc>
          <w:tcPr>
            <w:tcW w:w="51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采矿权抵押解除备案</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省自然资源和规划厅</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海口市、三亚市、儋州市自然资源和规划主管部门</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宋体"/>
                <w:color w:val="000000"/>
                <w:sz w:val="24"/>
                <w:szCs w:val="24"/>
                <w:lang w:bidi="ar-SA"/>
              </w:rPr>
            </w:pPr>
            <w:r>
              <w:rPr>
                <w:rFonts w:hint="eastAsia" w:ascii="Times New Roman" w:hAnsi="Times New Roman" w:eastAsia="仿宋_GB2312" w:cs="宋体"/>
                <w:color w:val="000000"/>
                <w:kern w:val="0"/>
                <w:sz w:val="24"/>
                <w:szCs w:val="24"/>
                <w:lang w:bidi="ar"/>
              </w:rPr>
              <w:t>委托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1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2023-08-22T12:02:38Z</dcterms:created>
  <dc:creator>Rubao</dc:creator>
  <cp:lastModifiedBy>Rubao</cp:lastModifiedBy>
  <dcterms:modified xsi:type="dcterms:W3CDTF">2023-08-22T12:03:12Z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