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黑体" w:hAnsi="黑体" w:eastAsia="黑体"/>
          <w:sz w:val="32"/>
          <w:szCs w:val="32"/>
        </w:rPr>
      </w:pPr>
      <w:r>
        <w:rPr>
          <w:rFonts w:hint="eastAsia" w:ascii="黑体" w:hAnsi="黑体" w:eastAsia="黑体"/>
          <w:sz w:val="32"/>
          <w:szCs w:val="32"/>
        </w:rPr>
        <w:t>附件</w:t>
      </w:r>
    </w:p>
    <w:p>
      <w:pPr>
        <w:spacing w:before="289" w:beforeLines="50" w:after="405" w:afterLines="70" w:line="576"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行政许可事项委托清单</w:t>
      </w:r>
      <w:bookmarkEnd w:id="0"/>
    </w:p>
    <w:tbl>
      <w:tblPr>
        <w:tblStyle w:val="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809"/>
        <w:gridCol w:w="2707"/>
        <w:gridCol w:w="35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1803" w:type="dxa"/>
            <w:noWrap w:val="0"/>
            <w:vAlign w:val="center"/>
          </w:tcPr>
          <w:p>
            <w:pPr>
              <w:spacing w:line="280" w:lineRule="exact"/>
              <w:jc w:val="center"/>
              <w:rPr>
                <w:rFonts w:hint="eastAsia" w:ascii="方正黑体简体" w:hAnsi="黑体" w:eastAsia="方正黑体简体"/>
                <w:color w:val="000000"/>
                <w:szCs w:val="21"/>
              </w:rPr>
            </w:pPr>
            <w:r>
              <w:rPr>
                <w:rFonts w:hint="eastAsia" w:ascii="方正黑体简体" w:hAnsi="黑体" w:eastAsia="方正黑体简体"/>
                <w:color w:val="000000"/>
                <w:szCs w:val="21"/>
              </w:rPr>
              <w:t>市级主管部门</w:t>
            </w:r>
          </w:p>
        </w:tc>
        <w:tc>
          <w:tcPr>
            <w:tcW w:w="809" w:type="dxa"/>
            <w:noWrap w:val="0"/>
            <w:vAlign w:val="center"/>
          </w:tcPr>
          <w:p>
            <w:pPr>
              <w:spacing w:line="280" w:lineRule="exact"/>
              <w:jc w:val="center"/>
              <w:rPr>
                <w:rFonts w:hint="eastAsia" w:ascii="方正黑体简体" w:hAnsi="黑体" w:eastAsia="方正黑体简体"/>
                <w:color w:val="000000"/>
                <w:szCs w:val="21"/>
              </w:rPr>
            </w:pPr>
            <w:r>
              <w:rPr>
                <w:rFonts w:hint="eastAsia" w:ascii="方正黑体简体" w:hAnsi="黑体" w:eastAsia="方正黑体简体"/>
                <w:color w:val="000000"/>
                <w:szCs w:val="21"/>
              </w:rPr>
              <w:t>序号</w:t>
            </w:r>
          </w:p>
        </w:tc>
        <w:tc>
          <w:tcPr>
            <w:tcW w:w="2707" w:type="dxa"/>
            <w:noWrap w:val="0"/>
            <w:vAlign w:val="center"/>
          </w:tcPr>
          <w:p>
            <w:pPr>
              <w:spacing w:line="280" w:lineRule="exact"/>
              <w:jc w:val="center"/>
              <w:rPr>
                <w:rFonts w:hint="eastAsia" w:ascii="方正黑体简体" w:hAnsi="黑体" w:eastAsia="方正黑体简体"/>
                <w:color w:val="000000"/>
                <w:szCs w:val="21"/>
              </w:rPr>
            </w:pPr>
            <w:r>
              <w:rPr>
                <w:rFonts w:hint="eastAsia" w:ascii="方正黑体简体" w:hAnsi="黑体" w:eastAsia="方正黑体简体"/>
                <w:color w:val="000000"/>
                <w:szCs w:val="21"/>
              </w:rPr>
              <w:t>事项名称</w:t>
            </w:r>
          </w:p>
        </w:tc>
        <w:tc>
          <w:tcPr>
            <w:tcW w:w="3526" w:type="dxa"/>
            <w:noWrap w:val="0"/>
            <w:vAlign w:val="center"/>
          </w:tcPr>
          <w:p>
            <w:pPr>
              <w:spacing w:line="280" w:lineRule="exact"/>
              <w:jc w:val="center"/>
              <w:rPr>
                <w:rFonts w:hint="eastAsia" w:ascii="方正黑体简体" w:hAnsi="黑体" w:eastAsia="方正黑体简体"/>
                <w:color w:val="000000"/>
                <w:szCs w:val="21"/>
              </w:rPr>
            </w:pPr>
            <w:r>
              <w:rPr>
                <w:rFonts w:hint="eastAsia" w:ascii="方正黑体简体" w:hAnsi="黑体" w:eastAsia="方正黑体简体"/>
                <w:color w:val="000000"/>
                <w:szCs w:val="21"/>
              </w:rPr>
              <w:t>委托决定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803"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市新闻出版局</w:t>
            </w: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1</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印刷企业设立、变更、兼并、合并、分立审批</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市新闻出版局部分权限依法委托至区县新闻出版管理部门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803" w:type="dxa"/>
            <w:vMerge w:val="restart"/>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市发改委</w:t>
            </w: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2</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在电力设施周围或者电力设施保护区内进行可能危及电力设施安全作业审批</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市发改委权限依法委托至区县电力管理部门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803" w:type="dxa"/>
            <w:vMerge w:val="continue"/>
            <w:noWrap w:val="0"/>
            <w:vAlign w:val="center"/>
          </w:tcPr>
          <w:p>
            <w:pPr>
              <w:spacing w:line="280" w:lineRule="exact"/>
              <w:jc w:val="center"/>
              <w:rPr>
                <w:rFonts w:hint="eastAsia" w:ascii="方正书宋简体" w:eastAsia="方正书宋简体"/>
                <w:color w:val="000000"/>
                <w:szCs w:val="21"/>
              </w:rPr>
            </w:pP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3</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新建不能满足管道保护要求的石油天然气管道防护方案审批</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市发改委权限依法委托至区县管道保护主管部门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803" w:type="dxa"/>
            <w:vMerge w:val="restart"/>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市城管局</w:t>
            </w: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4</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从事城市生活垃圾经营性清扫、收集、运输、处理服务审批</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市城管局部分权限依法委托至区县城市管理部门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803" w:type="dxa"/>
            <w:vMerge w:val="continue"/>
            <w:noWrap w:val="0"/>
            <w:vAlign w:val="center"/>
          </w:tcPr>
          <w:p>
            <w:pPr>
              <w:spacing w:line="280" w:lineRule="exact"/>
              <w:jc w:val="center"/>
              <w:rPr>
                <w:rFonts w:hint="eastAsia" w:ascii="方正书宋简体" w:eastAsia="方正书宋简体"/>
                <w:color w:val="000000"/>
                <w:szCs w:val="21"/>
              </w:rPr>
            </w:pP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5</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设置大型户外广告及在城市建筑物、设施上悬挂、张贴宣传品审批</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市城管局部分权限依法委托至城六区市容环境卫生部门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803" w:type="dxa"/>
            <w:vMerge w:val="restart"/>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市市场监管局</w:t>
            </w: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6</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特种设备使用登记</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市市场监管局权限依法委托至区县市场监管部门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803" w:type="dxa"/>
            <w:vMerge w:val="continue"/>
            <w:noWrap w:val="0"/>
            <w:vAlign w:val="center"/>
          </w:tcPr>
          <w:p>
            <w:pPr>
              <w:spacing w:line="280" w:lineRule="exact"/>
              <w:rPr>
                <w:rFonts w:hint="eastAsia" w:ascii="方正书宋简体" w:eastAsia="方正书宋简体"/>
                <w:color w:val="000000"/>
                <w:szCs w:val="21"/>
              </w:rPr>
            </w:pPr>
          </w:p>
        </w:tc>
        <w:tc>
          <w:tcPr>
            <w:tcW w:w="809" w:type="dxa"/>
            <w:noWrap w:val="0"/>
            <w:vAlign w:val="center"/>
          </w:tcPr>
          <w:p>
            <w:pPr>
              <w:spacing w:line="280" w:lineRule="exact"/>
              <w:jc w:val="center"/>
              <w:rPr>
                <w:rFonts w:hint="eastAsia" w:ascii="方正书宋简体" w:eastAsia="方正书宋简体"/>
                <w:color w:val="000000"/>
                <w:szCs w:val="21"/>
              </w:rPr>
            </w:pPr>
            <w:r>
              <w:rPr>
                <w:rFonts w:hint="eastAsia" w:ascii="方正书宋简体" w:eastAsia="方正书宋简体"/>
                <w:color w:val="000000"/>
                <w:szCs w:val="21"/>
              </w:rPr>
              <w:t>7</w:t>
            </w:r>
          </w:p>
        </w:tc>
        <w:tc>
          <w:tcPr>
            <w:tcW w:w="2707"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第三类医疗器械经营许可</w:t>
            </w:r>
          </w:p>
        </w:tc>
        <w:tc>
          <w:tcPr>
            <w:tcW w:w="3526" w:type="dxa"/>
            <w:noWrap w:val="0"/>
            <w:vAlign w:val="center"/>
          </w:tcPr>
          <w:p>
            <w:pPr>
              <w:spacing w:line="280" w:lineRule="exact"/>
              <w:rPr>
                <w:rFonts w:hint="eastAsia" w:ascii="方正书宋简体" w:eastAsia="方正书宋简体"/>
                <w:color w:val="000000"/>
                <w:szCs w:val="21"/>
              </w:rPr>
            </w:pPr>
            <w:r>
              <w:rPr>
                <w:rFonts w:hint="eastAsia" w:ascii="方正书宋简体" w:eastAsia="方正书宋简体"/>
                <w:color w:val="000000"/>
                <w:szCs w:val="21"/>
              </w:rPr>
              <w:t>市市场监管局权限依法委托至区县市场监管部门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072330CA"/>
    <w:rsid w:val="0723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2023-09-20T07:00:00Z</dcterms:created>
  <dc:creator>Snail  walk(慢节奏)</dc:creator>
  <cp:lastModifiedBy>Snail  walk(慢节奏)</cp:lastModifiedBy>
  <dcterms:modified xsi:type="dcterms:W3CDTF">2023-09-20T07:00:33Z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A238DD7A324C49A6A01AA268F2426D57_11</vt:lpwstr>
  </property>
</Properties>
</file>