
<file path=[Content_Types].xml><?xml version="1.0" encoding="utf-8"?>
<Types xmlns="http://schemas.openxmlformats.org/package/2006/content-types">
  <Default Extension="xml" ContentType="application/xml"/>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firstLine="640" w:firstLineChars="200"/>
        <w:jc w:val="both"/>
        <w:rPr>
          <w:rFonts w:hint="eastAsia" w:ascii="黑体" w:eastAsia="黑体" w:cs="黑体"/>
          <w:b w:val="0"/>
          <w:bCs/>
          <w:color w:val="000000"/>
          <w:sz w:val="32"/>
          <w:szCs w:val="32"/>
          <w:lang w:bidi="ar-SA"/>
        </w:rPr>
      </w:pPr>
      <w:bookmarkStart w:id="0" w:name="_GoBack"/>
      <w:r>
        <w:rPr>
          <w:rFonts w:hint="eastAsia" w:ascii="黑体" w:eastAsia="黑体" w:cs="黑体"/>
          <w:b w:val="0"/>
          <w:bCs/>
          <w:color w:val="000000"/>
          <w:sz w:val="32"/>
          <w:szCs w:val="32"/>
          <w:lang w:bidi="ar-SA"/>
        </w:rPr>
        <w:t>附录一  名词解释</w:t>
      </w:r>
    </w:p>
    <w:bookmarkEnd w:id="0"/>
    <w:p>
      <w:pPr>
        <w:spacing w:line="56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w:t>
      </w:r>
      <w:r>
        <w:rPr>
          <w:rFonts w:hint="eastAsia" w:ascii="仿宋_GB2312" w:eastAsia="仿宋_GB2312" w:cs="仿宋_GB2312"/>
          <w:color w:val="000000"/>
          <w:kern w:val="2"/>
          <w:sz w:val="32"/>
          <w:szCs w:val="32"/>
          <w:lang w:bidi="ar-SA"/>
        </w:rPr>
        <w:t>居住建筑</w:t>
      </w:r>
    </w:p>
    <w:p>
      <w:pPr>
        <w:spacing w:line="56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指住宅、宿舍、休（疗）养院住宿楼等供居住使用的建筑。</w:t>
      </w:r>
    </w:p>
    <w:p>
      <w:pPr>
        <w:spacing w:line="56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2.</w:t>
      </w:r>
      <w:r>
        <w:rPr>
          <w:rFonts w:hint="eastAsia" w:ascii="仿宋_GB2312" w:eastAsia="仿宋_GB2312" w:cs="仿宋_GB2312"/>
          <w:color w:val="000000"/>
          <w:kern w:val="2"/>
          <w:sz w:val="32"/>
          <w:szCs w:val="32"/>
          <w:lang w:bidi="ar-SA"/>
        </w:rPr>
        <w:t>主采光面</w:t>
      </w:r>
    </w:p>
    <w:p>
      <w:pPr>
        <w:spacing w:line="56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开设有起居室（厅）、卧室、办公、客房等主要房间门、窗的外墙面，以及宽度大于16米的外墙面。</w:t>
      </w:r>
    </w:p>
    <w:p>
      <w:pPr>
        <w:spacing w:line="56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宽度小于或等于16米的外墙设计有槽口，且槽口内开设有起居室（厅）、卧室、办公、客房等主要房间门、窗的，其建筑外墙面视为主采光面。</w:t>
      </w:r>
    </w:p>
    <w:p>
      <w:pPr>
        <w:spacing w:line="56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宽度小于或等于16米的外墙设计有阳台，且与起居室（厅）、卧室、办公、客房等主要房间相连的，其建筑外墙面视为主采光面。</w:t>
      </w:r>
    </w:p>
    <w:p>
      <w:pPr>
        <w:pStyle w:val="3"/>
        <w:keepNext w:val="0"/>
        <w:keepLines w:val="0"/>
        <w:widowControl w:val="0"/>
        <w:jc w:val="center"/>
        <w:rPr>
          <w:rFonts w:hint="eastAsia"/>
          <w:color w:val="000000"/>
        </w:rPr>
      </w:pPr>
      <w:r>
        <w:rPr>
          <w:color w:val="000000"/>
        </w:rPr>
        <w:drawing>
          <wp:inline distT="0" distB="0" distL="84455" distR="84455">
            <wp:extent cx="2972435" cy="1751330"/>
            <wp:effectExtent l="0" t="0" r="8890" b="1270"/>
            <wp:docPr id="21" name="图片" descr="222"/>
            <wp:cNvGraphicFramePr/>
            <a:graphic xmlns:a="http://schemas.openxmlformats.org/drawingml/2006/main">
              <a:graphicData uri="http://schemas.openxmlformats.org/drawingml/2006/picture">
                <pic:pic xmlns:pic="http://schemas.openxmlformats.org/drawingml/2006/picture">
                  <pic:nvPicPr>
                    <pic:cNvPr id="21" name="图片" descr="222"/>
                    <pic:cNvPicPr/>
                  </pic:nvPicPr>
                  <pic:blipFill>
                    <a:blip r:embed="rId4"/>
                    <a:stretch>
                      <a:fillRect/>
                    </a:stretch>
                  </pic:blipFill>
                  <pic:spPr>
                    <a:xfrm>
                      <a:off x="0" y="0"/>
                      <a:ext cx="2972435" cy="1751330"/>
                    </a:xfrm>
                    <a:prstGeom prst="rect">
                      <a:avLst/>
                    </a:prstGeom>
                    <a:noFill/>
                    <a:ln w="9525" cap="flat" cmpd="sng">
                      <a:noFill/>
                      <a:prstDash val="solid"/>
                      <a:miter/>
                    </a:ln>
                  </pic:spPr>
                </pic:pic>
              </a:graphicData>
            </a:graphic>
          </wp:inline>
        </w:drawing>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3.</w:t>
      </w:r>
      <w:r>
        <w:rPr>
          <w:rFonts w:hint="eastAsia" w:ascii="仿宋_GB2312" w:eastAsia="仿宋_GB2312" w:cs="仿宋_GB2312"/>
          <w:color w:val="000000"/>
          <w:kern w:val="2"/>
          <w:sz w:val="32"/>
          <w:szCs w:val="32"/>
          <w:lang w:bidi="ar-SA"/>
        </w:rPr>
        <w:t>山墙</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端墙宽度小于或等于16米，未开门、窗或仅开设公共走道、厨房、卫生间窗的外墙。</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居住建筑山墙上可设与厨房相连的生活阳台。</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4.</w:t>
      </w:r>
      <w:r>
        <w:rPr>
          <w:rFonts w:hint="eastAsia" w:ascii="仿宋_GB2312" w:eastAsia="仿宋_GB2312" w:cs="仿宋_GB2312"/>
          <w:color w:val="000000"/>
          <w:kern w:val="2"/>
          <w:sz w:val="32"/>
          <w:szCs w:val="32"/>
          <w:lang w:bidi="ar-SA"/>
        </w:rPr>
        <w:t>地下建筑、地上建筑</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建筑楼面标高不高于室外场地最低点标高1米的，该楼面以下部分为地下建筑。</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除地下建筑以外的建筑均为地上建筑。</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建设项目规划设计应结合地形，与城市道路标高合理衔接。以不合理堆土形成掩埋的建筑，不视为地下建筑。</w:t>
      </w:r>
    </w:p>
    <w:p>
      <w:pPr>
        <w:jc w:val="center"/>
        <w:rPr>
          <w:rFonts w:hint="eastAsia" w:ascii="仿宋" w:eastAsia="仿宋" w:cs="仿宋"/>
          <w:color w:val="000000"/>
          <w:kern w:val="2"/>
          <w:sz w:val="28"/>
          <w:szCs w:val="28"/>
          <w:lang w:bidi="ar-SA"/>
        </w:rPr>
      </w:pPr>
      <w:r>
        <w:rPr>
          <w:rFonts w:ascii="仿宋" w:eastAsia="仿宋" w:cs="仿宋"/>
          <w:color w:val="000000"/>
          <w:kern w:val="2"/>
          <w:sz w:val="28"/>
          <w:szCs w:val="28"/>
          <w:lang w:bidi="ar-SA"/>
        </w:rPr>
        <w:drawing>
          <wp:inline distT="0" distB="0" distL="84455" distR="84455">
            <wp:extent cx="4072890" cy="2401570"/>
            <wp:effectExtent l="0" t="0" r="3810" b="8255"/>
            <wp:docPr id="24" name="图片"/>
            <wp:cNvGraphicFramePr/>
            <a:graphic xmlns:a="http://schemas.openxmlformats.org/drawingml/2006/main">
              <a:graphicData uri="http://schemas.openxmlformats.org/drawingml/2006/picture">
                <pic:pic xmlns:pic="http://schemas.openxmlformats.org/drawingml/2006/picture">
                  <pic:nvPicPr>
                    <pic:cNvPr id="24" name="图片"/>
                    <pic:cNvPicPr/>
                  </pic:nvPicPr>
                  <pic:blipFill>
                    <a:blip r:embed="rId5"/>
                    <a:stretch>
                      <a:fillRect/>
                    </a:stretch>
                  </pic:blipFill>
                  <pic:spPr>
                    <a:xfrm>
                      <a:off x="0" y="0"/>
                      <a:ext cx="4072890" cy="2401570"/>
                    </a:xfrm>
                    <a:prstGeom prst="rect">
                      <a:avLst/>
                    </a:prstGeom>
                    <a:solidFill>
                      <a:srgbClr val="FFFFFF"/>
                    </a:solidFill>
                    <a:ln w="9525" cap="flat" cmpd="sng">
                      <a:noFill/>
                      <a:prstDash val="solid"/>
                      <a:miter/>
                    </a:ln>
                  </pic:spPr>
                </pic:pic>
              </a:graphicData>
            </a:graphic>
          </wp:inline>
        </w:drawing>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5.</w:t>
      </w:r>
      <w:r>
        <w:rPr>
          <w:rFonts w:hint="eastAsia" w:ascii="仿宋_GB2312" w:eastAsia="仿宋_GB2312" w:cs="仿宋_GB2312"/>
          <w:color w:val="000000"/>
          <w:kern w:val="2"/>
          <w:sz w:val="32"/>
          <w:szCs w:val="32"/>
          <w:lang w:bidi="ar-SA"/>
        </w:rPr>
        <w:t>架空层</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 xml:space="preserve">指在建筑物底层或塔楼首层设置的建筑净高大于2.4米的，无任何围护结构和围护设施的建筑层，架空层只能设置能自由、便捷直接进入的绿地、休闲空间。 </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6.</w:t>
      </w:r>
      <w:r>
        <w:rPr>
          <w:rFonts w:hint="eastAsia" w:ascii="仿宋_GB2312" w:eastAsia="仿宋_GB2312" w:cs="仿宋_GB2312"/>
          <w:color w:val="000000"/>
          <w:kern w:val="2"/>
          <w:sz w:val="32"/>
          <w:szCs w:val="32"/>
          <w:lang w:bidi="ar-SA"/>
        </w:rPr>
        <w:t>结构（设备）转换层</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指建筑物某楼层的上部与下部因平面使用功能不同，该楼层上部与下部采用不同结构（设备）类型，并通过该楼层进行结构（设备）转换，则该楼层称为结构（设备）转换层。单独设置结构（设备）转换层时，层高应小于2.2米。</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7.</w:t>
      </w:r>
      <w:r>
        <w:rPr>
          <w:rFonts w:hint="eastAsia" w:ascii="仿宋_GB2312" w:eastAsia="仿宋_GB2312" w:cs="仿宋_GB2312"/>
          <w:color w:val="000000"/>
          <w:kern w:val="2"/>
          <w:sz w:val="32"/>
          <w:szCs w:val="32"/>
          <w:lang w:bidi="ar-SA"/>
        </w:rPr>
        <w:t>避难层</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建筑高度超过100米的高层建筑</w:t>
      </w:r>
      <w:r>
        <w:rPr>
          <w:rFonts w:hint="eastAsia" w:ascii="仿宋_GB2312" w:eastAsia="仿宋_GB2312" w:cs="仿宋_GB2312"/>
          <w:color w:val="000000"/>
          <w:kern w:val="2"/>
          <w:sz w:val="32"/>
          <w:szCs w:val="32"/>
          <w:lang w:val="en-US" w:eastAsia="zh-CN" w:bidi="ar-SA"/>
        </w:rPr>
        <w:t>内，用于人员暂时躲避火灾及其烟气危害的楼层</w:t>
      </w:r>
      <w:r>
        <w:rPr>
          <w:rFonts w:hint="eastAsia" w:ascii="仿宋_GB2312" w:eastAsia="仿宋_GB2312" w:cs="仿宋_GB2312"/>
          <w:color w:val="000000"/>
          <w:kern w:val="2"/>
          <w:sz w:val="32"/>
          <w:szCs w:val="32"/>
          <w:lang w:bidi="ar-SA"/>
        </w:rPr>
        <w:t>。</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8.</w:t>
      </w:r>
      <w:r>
        <w:rPr>
          <w:rFonts w:hint="eastAsia" w:ascii="仿宋_GB2312" w:eastAsia="仿宋_GB2312" w:cs="仿宋_GB2312"/>
          <w:color w:val="000000"/>
          <w:kern w:val="2"/>
          <w:sz w:val="32"/>
          <w:szCs w:val="32"/>
          <w:lang w:bidi="ar-SA"/>
        </w:rPr>
        <w:t>道路红线</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指规划道路横断面的两条控制线。</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9.</w:t>
      </w:r>
      <w:r>
        <w:rPr>
          <w:rFonts w:hint="eastAsia" w:ascii="仿宋_GB2312" w:eastAsia="仿宋_GB2312" w:cs="仿宋_GB2312"/>
          <w:color w:val="000000"/>
          <w:kern w:val="2"/>
          <w:sz w:val="32"/>
          <w:szCs w:val="32"/>
          <w:lang w:bidi="ar-SA"/>
        </w:rPr>
        <w:t>建筑面宽</w:t>
      </w:r>
    </w:p>
    <w:p>
      <w:pPr>
        <w:spacing w:line="480" w:lineRule="exact"/>
        <w:ind w:firstLine="623"/>
        <w:rPr>
          <w:rFonts w:hint="eastAsia" w:ascii="仿宋_GB2312" w:eastAsia="仿宋_GB2312" w:cs="仿宋_GB2312"/>
          <w:color w:val="000000"/>
          <w:kern w:val="2"/>
          <w:sz w:val="28"/>
          <w:szCs w:val="28"/>
          <w:lang w:bidi="ar-SA"/>
        </w:rPr>
      </w:pPr>
      <w:r>
        <w:rPr>
          <w:rFonts w:hint="eastAsia" w:ascii="仿宋_GB2312" w:eastAsia="仿宋_GB2312" w:cs="仿宋_GB2312"/>
          <w:color w:val="000000"/>
          <w:kern w:val="2"/>
          <w:sz w:val="32"/>
          <w:szCs w:val="32"/>
          <w:lang w:bidi="ar-SA"/>
        </w:rPr>
        <w:t>指建筑物最外轮廓的正投影长度。</w:t>
      </w:r>
    </w:p>
    <w:p>
      <w:pPr>
        <w:jc w:val="center"/>
        <w:rPr>
          <w:rFonts w:hint="eastAsia" w:ascii="仿宋" w:eastAsia="仿宋" w:cs="仿宋"/>
          <w:color w:val="000000"/>
          <w:kern w:val="2"/>
          <w:sz w:val="28"/>
          <w:szCs w:val="28"/>
          <w:lang w:bidi="ar-SA"/>
        </w:rPr>
      </w:pPr>
    </w:p>
    <w:p>
      <w:pPr>
        <w:jc w:val="center"/>
        <w:rPr>
          <w:rFonts w:hint="eastAsia" w:ascii="仿宋" w:eastAsia="仿宋" w:cs="仿宋"/>
          <w:color w:val="000000"/>
          <w:kern w:val="2"/>
          <w:sz w:val="28"/>
          <w:szCs w:val="28"/>
          <w:lang w:bidi="ar-SA"/>
        </w:rPr>
      </w:pPr>
      <w:r>
        <w:rPr>
          <w:rFonts w:ascii="仿宋" w:eastAsia="仿宋" w:cs="仿宋"/>
          <w:color w:val="000000"/>
          <w:kern w:val="2"/>
          <w:sz w:val="28"/>
          <w:szCs w:val="28"/>
          <w:lang w:bidi="ar-SA"/>
        </w:rPr>
        <w:drawing>
          <wp:inline distT="0" distB="0" distL="84455" distR="84455">
            <wp:extent cx="3757930" cy="3206115"/>
            <wp:effectExtent l="0" t="0" r="4445" b="3810"/>
            <wp:docPr id="27" name="图片"/>
            <wp:cNvGraphicFramePr/>
            <a:graphic xmlns:a="http://schemas.openxmlformats.org/drawingml/2006/main">
              <a:graphicData uri="http://schemas.openxmlformats.org/drawingml/2006/picture">
                <pic:pic xmlns:pic="http://schemas.openxmlformats.org/drawingml/2006/picture">
                  <pic:nvPicPr>
                    <pic:cNvPr id="27" name="图片"/>
                    <pic:cNvPicPr/>
                  </pic:nvPicPr>
                  <pic:blipFill>
                    <a:blip r:embed="rId6"/>
                    <a:srcRect l="8785" t="7442" r="9188" b="9225"/>
                    <a:stretch>
                      <a:fillRect/>
                    </a:stretch>
                  </pic:blipFill>
                  <pic:spPr>
                    <a:xfrm>
                      <a:off x="0" y="0"/>
                      <a:ext cx="3757930" cy="3206115"/>
                    </a:xfrm>
                    <a:prstGeom prst="rect">
                      <a:avLst/>
                    </a:prstGeom>
                    <a:solidFill>
                      <a:srgbClr val="FFFFFF"/>
                    </a:solidFill>
                    <a:ln w="9525" cap="flat" cmpd="sng">
                      <a:noFill/>
                      <a:prstDash val="solid"/>
                      <a:miter/>
                    </a:ln>
                  </pic:spPr>
                </pic:pic>
              </a:graphicData>
            </a:graphic>
          </wp:inline>
        </w:drawing>
      </w:r>
    </w:p>
    <w:p>
      <w:pPr>
        <w:pStyle w:val="3"/>
        <w:jc w:val="center"/>
        <w:rPr>
          <w:rFonts w:hint="eastAsia" w:ascii="仿宋" w:eastAsia="仿宋" w:cs="仿宋"/>
          <w:color w:val="000000"/>
          <w:kern w:val="2"/>
          <w:sz w:val="28"/>
          <w:szCs w:val="28"/>
          <w:lang w:eastAsia="zh-CN" w:bidi="ar-SA"/>
        </w:rPr>
      </w:pPr>
      <w:r>
        <w:rPr>
          <w:rFonts w:ascii="仿宋" w:eastAsia="仿宋" w:cs="仿宋"/>
          <w:kern w:val="2"/>
          <w:sz w:val="28"/>
          <w:szCs w:val="28"/>
          <w:lang w:eastAsia="zh-CN" w:bidi="ar-SA"/>
        </w:rPr>
        <w:drawing>
          <wp:inline distT="0" distB="0" distL="84455" distR="84455">
            <wp:extent cx="2474595" cy="1614805"/>
            <wp:effectExtent l="0" t="0" r="1905" b="4445"/>
            <wp:docPr id="30" name="图片" descr="7024716221b630a4679c333f4c3d09c"/>
            <wp:cNvGraphicFramePr/>
            <a:graphic xmlns:a="http://schemas.openxmlformats.org/drawingml/2006/main">
              <a:graphicData uri="http://schemas.openxmlformats.org/drawingml/2006/picture">
                <pic:pic xmlns:pic="http://schemas.openxmlformats.org/drawingml/2006/picture">
                  <pic:nvPicPr>
                    <pic:cNvPr id="30" name="图片" descr="7024716221b630a4679c333f4c3d09c"/>
                    <pic:cNvPicPr/>
                  </pic:nvPicPr>
                  <pic:blipFill>
                    <a:blip r:embed="rId7"/>
                    <a:srcRect l="6850" t="12845" r="11378" b="11705"/>
                    <a:stretch>
                      <a:fillRect/>
                    </a:stretch>
                  </pic:blipFill>
                  <pic:spPr>
                    <a:xfrm>
                      <a:off x="0" y="0"/>
                      <a:ext cx="2474595" cy="1614805"/>
                    </a:xfrm>
                    <a:prstGeom prst="rect">
                      <a:avLst/>
                    </a:prstGeom>
                    <a:noFill/>
                    <a:ln w="9525" cap="flat" cmpd="sng">
                      <a:noFill/>
                      <a:prstDash val="solid"/>
                      <a:miter/>
                    </a:ln>
                  </pic:spPr>
                </pic:pic>
              </a:graphicData>
            </a:graphic>
          </wp:inline>
        </w:drawing>
      </w:r>
      <w:r>
        <w:rPr>
          <w:rFonts w:ascii="仿宋" w:eastAsia="仿宋" w:cs="仿宋"/>
          <w:kern w:val="2"/>
          <w:sz w:val="28"/>
          <w:szCs w:val="28"/>
          <w:lang w:eastAsia="zh-CN" w:bidi="ar-SA"/>
        </w:rPr>
        <w:drawing>
          <wp:inline distT="0" distB="0" distL="84455" distR="84455">
            <wp:extent cx="2665095" cy="1520190"/>
            <wp:effectExtent l="0" t="0" r="1905" b="3810"/>
            <wp:docPr id="33" name="图片" descr="d73f4c16d0731f95e2dda9a60a52957"/>
            <wp:cNvGraphicFramePr/>
            <a:graphic xmlns:a="http://schemas.openxmlformats.org/drawingml/2006/main">
              <a:graphicData uri="http://schemas.openxmlformats.org/drawingml/2006/picture">
                <pic:pic xmlns:pic="http://schemas.openxmlformats.org/drawingml/2006/picture">
                  <pic:nvPicPr>
                    <pic:cNvPr id="33" name="图片" descr="d73f4c16d0731f95e2dda9a60a52957"/>
                    <pic:cNvPicPr/>
                  </pic:nvPicPr>
                  <pic:blipFill>
                    <a:blip r:embed="rId8"/>
                    <a:srcRect l="7409" t="15071" r="8767" b="17336"/>
                    <a:stretch>
                      <a:fillRect/>
                    </a:stretch>
                  </pic:blipFill>
                  <pic:spPr>
                    <a:xfrm>
                      <a:off x="0" y="0"/>
                      <a:ext cx="2665095" cy="1520190"/>
                    </a:xfrm>
                    <a:prstGeom prst="rect">
                      <a:avLst/>
                    </a:prstGeom>
                    <a:noFill/>
                    <a:ln w="9525" cap="flat" cmpd="sng">
                      <a:noFill/>
                      <a:prstDash val="solid"/>
                      <a:miter/>
                    </a:ln>
                  </pic:spPr>
                </pic:pic>
              </a:graphicData>
            </a:graphic>
          </wp:inline>
        </w:drawing>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0.</w:t>
      </w:r>
      <w:r>
        <w:rPr>
          <w:rFonts w:hint="eastAsia" w:ascii="仿宋_GB2312" w:eastAsia="仿宋_GB2312" w:cs="仿宋_GB2312"/>
          <w:color w:val="000000"/>
          <w:kern w:val="2"/>
          <w:sz w:val="32"/>
          <w:szCs w:val="32"/>
          <w:lang w:bidi="ar-SA"/>
        </w:rPr>
        <w:t>设备层</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建筑物中专为设置暖通、空调、给水排水和配变电等的设备和管道且供人员进入操作用的空间层。</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1.</w:t>
      </w:r>
      <w:r>
        <w:rPr>
          <w:rFonts w:hint="eastAsia" w:ascii="仿宋_GB2312" w:eastAsia="仿宋_GB2312" w:cs="仿宋_GB2312"/>
          <w:color w:val="000000"/>
          <w:kern w:val="2"/>
          <w:sz w:val="32"/>
          <w:szCs w:val="32"/>
          <w:lang w:bidi="ar-SA"/>
        </w:rPr>
        <w:t>建筑间距</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指相邻建筑物最外轮廓（含阳台、外廊、</w:t>
      </w:r>
      <w:r>
        <w:rPr>
          <w:rFonts w:hint="eastAsia" w:ascii="仿宋_GB2312" w:eastAsia="仿宋_GB2312" w:cs="仿宋_GB2312"/>
          <w:color w:val="000000"/>
          <w:kern w:val="2"/>
          <w:sz w:val="32"/>
          <w:szCs w:val="32"/>
          <w:lang w:eastAsia="zh-CN" w:bidi="ar-SA"/>
        </w:rPr>
        <w:t>露台、</w:t>
      </w:r>
      <w:r>
        <w:rPr>
          <w:rFonts w:hint="eastAsia" w:ascii="仿宋_GB2312" w:eastAsia="仿宋_GB2312" w:cs="仿宋_GB2312"/>
          <w:color w:val="000000"/>
          <w:kern w:val="2"/>
          <w:sz w:val="32"/>
          <w:szCs w:val="32"/>
          <w:lang w:bidi="ar-SA"/>
        </w:rPr>
        <w:t>飘窗）投影线最近点之间的水平距离。本规定建筑间距为相邻建筑物半间距之和。</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2.</w:t>
      </w:r>
      <w:r>
        <w:rPr>
          <w:rFonts w:hint="eastAsia" w:ascii="仿宋_GB2312" w:eastAsia="仿宋_GB2312" w:cs="仿宋_GB2312"/>
          <w:color w:val="000000"/>
          <w:kern w:val="2"/>
          <w:sz w:val="32"/>
          <w:szCs w:val="32"/>
          <w:lang w:bidi="ar-SA"/>
        </w:rPr>
        <w:t>建筑半间距</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指相邻建筑物最外轮廓（含阳台、外廊、</w:t>
      </w:r>
      <w:r>
        <w:rPr>
          <w:rFonts w:hint="eastAsia" w:ascii="仿宋_GB2312" w:eastAsia="仿宋_GB2312" w:cs="仿宋_GB2312"/>
          <w:color w:val="000000"/>
          <w:kern w:val="2"/>
          <w:sz w:val="32"/>
          <w:szCs w:val="32"/>
          <w:lang w:eastAsia="zh-CN" w:bidi="ar-SA"/>
        </w:rPr>
        <w:t>露台、</w:t>
      </w:r>
      <w:r>
        <w:rPr>
          <w:rFonts w:hint="eastAsia" w:ascii="仿宋_GB2312" w:eastAsia="仿宋_GB2312" w:cs="仿宋_GB2312"/>
          <w:color w:val="000000"/>
          <w:kern w:val="2"/>
          <w:sz w:val="32"/>
          <w:szCs w:val="32"/>
          <w:lang w:bidi="ar-SA"/>
        </w:rPr>
        <w:t>飘窗）各自应当退让的水平距离，其中建筑的裙房与塔楼分别计算各自的半间距。</w:t>
      </w:r>
    </w:p>
    <w:p>
      <w:pPr>
        <w:jc w:val="center"/>
        <w:rPr>
          <w:rFonts w:hint="eastAsia" w:ascii="仿宋" w:eastAsia="仿宋" w:cs="仿宋"/>
          <w:color w:val="000000"/>
          <w:kern w:val="2"/>
          <w:sz w:val="28"/>
          <w:szCs w:val="28"/>
          <w:lang w:bidi="ar-SA"/>
        </w:rPr>
      </w:pPr>
      <w:r>
        <w:rPr>
          <w:rFonts w:ascii="仿宋" w:eastAsia="仿宋" w:cs="仿宋"/>
          <w:color w:val="000000"/>
          <w:kern w:val="2"/>
          <w:sz w:val="28"/>
          <w:szCs w:val="28"/>
          <w:lang w:bidi="ar-SA"/>
        </w:rPr>
        <w:drawing>
          <wp:inline distT="0" distB="0" distL="84455" distR="84455">
            <wp:extent cx="2731770" cy="3598545"/>
            <wp:effectExtent l="0" t="0" r="1905" b="1905"/>
            <wp:docPr id="36" name="图片"/>
            <wp:cNvGraphicFramePr/>
            <a:graphic xmlns:a="http://schemas.openxmlformats.org/drawingml/2006/main">
              <a:graphicData uri="http://schemas.openxmlformats.org/drawingml/2006/picture">
                <pic:pic xmlns:pic="http://schemas.openxmlformats.org/drawingml/2006/picture">
                  <pic:nvPicPr>
                    <pic:cNvPr id="36" name="图片"/>
                    <pic:cNvPicPr/>
                  </pic:nvPicPr>
                  <pic:blipFill>
                    <a:blip r:embed="rId9"/>
                    <a:stretch>
                      <a:fillRect/>
                    </a:stretch>
                  </pic:blipFill>
                  <pic:spPr>
                    <a:xfrm>
                      <a:off x="0" y="0"/>
                      <a:ext cx="2731770" cy="3598545"/>
                    </a:xfrm>
                    <a:prstGeom prst="rect">
                      <a:avLst/>
                    </a:prstGeom>
                    <a:solidFill>
                      <a:srgbClr val="FFFFFF"/>
                    </a:solidFill>
                    <a:ln w="9525" cap="flat" cmpd="sng">
                      <a:noFill/>
                      <a:prstDash val="solid"/>
                      <a:miter/>
                    </a:ln>
                  </pic:spPr>
                </pic:pic>
              </a:graphicData>
            </a:graphic>
          </wp:inline>
        </w:drawing>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3.</w:t>
      </w:r>
      <w:r>
        <w:rPr>
          <w:rFonts w:hint="eastAsia" w:ascii="仿宋_GB2312" w:eastAsia="仿宋_GB2312" w:cs="仿宋_GB2312"/>
          <w:color w:val="000000"/>
          <w:kern w:val="2"/>
          <w:sz w:val="32"/>
          <w:szCs w:val="32"/>
          <w:lang w:bidi="ar-SA"/>
        </w:rPr>
        <w:t>相对高度</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指相邻布置的两栋建筑在计算建筑间距时所使用的立面计算高度。同一裙楼屋面上的建筑相对高度为相邻外墙面所在的裙房屋顶结构层上表面至各自屋顶结构层上表面的垂直距离。</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4.</w:t>
      </w:r>
      <w:r>
        <w:rPr>
          <w:rFonts w:hint="eastAsia" w:ascii="仿宋_GB2312" w:eastAsia="仿宋_GB2312" w:cs="仿宋_GB2312"/>
          <w:color w:val="000000"/>
          <w:kern w:val="2"/>
          <w:sz w:val="32"/>
          <w:szCs w:val="32"/>
          <w:lang w:bidi="ar-SA"/>
        </w:rPr>
        <w:t>建筑计算高度</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平屋顶建筑的建筑计算高度指各立面对应的室外设计地坪标高至屋面面层的高度。</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屋顶上的水箱间、电梯机房、楼梯间、瞭望塔、烟囱等辅助用房占屋面面积不大于1/4者，可不计入建筑计算高度。</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5.</w:t>
      </w:r>
      <w:r>
        <w:rPr>
          <w:rFonts w:hint="eastAsia" w:ascii="仿宋_GB2312" w:eastAsia="仿宋_GB2312" w:cs="仿宋_GB2312"/>
          <w:color w:val="000000"/>
          <w:kern w:val="2"/>
          <w:sz w:val="32"/>
          <w:szCs w:val="32"/>
          <w:lang w:bidi="ar-SA"/>
        </w:rPr>
        <w:t>相对布置</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建筑外墙面（含阳台、外廊、</w:t>
      </w:r>
      <w:r>
        <w:rPr>
          <w:rFonts w:hint="eastAsia" w:ascii="仿宋_GB2312" w:eastAsia="仿宋_GB2312" w:cs="仿宋_GB2312"/>
          <w:color w:val="000000"/>
          <w:kern w:val="2"/>
          <w:sz w:val="32"/>
          <w:szCs w:val="32"/>
          <w:lang w:eastAsia="zh-CN" w:bidi="ar-SA"/>
        </w:rPr>
        <w:t>露台、</w:t>
      </w:r>
      <w:r>
        <w:rPr>
          <w:rFonts w:hint="eastAsia" w:ascii="仿宋_GB2312" w:eastAsia="仿宋_GB2312" w:cs="仿宋_GB2312"/>
          <w:color w:val="000000"/>
          <w:kern w:val="2"/>
          <w:sz w:val="32"/>
          <w:szCs w:val="32"/>
          <w:lang w:bidi="ar-SA"/>
        </w:rPr>
        <w:t>飘窗）的正投影面与相邻建筑的外墙面（含阳台、外廊、</w:t>
      </w:r>
      <w:r>
        <w:rPr>
          <w:rFonts w:hint="eastAsia" w:ascii="仿宋_GB2312" w:eastAsia="仿宋_GB2312" w:cs="仿宋_GB2312"/>
          <w:color w:val="000000"/>
          <w:kern w:val="2"/>
          <w:sz w:val="32"/>
          <w:szCs w:val="32"/>
          <w:lang w:eastAsia="zh-CN" w:bidi="ar-SA"/>
        </w:rPr>
        <w:t>露台、</w:t>
      </w:r>
      <w:r>
        <w:rPr>
          <w:rFonts w:hint="eastAsia" w:ascii="仿宋_GB2312" w:eastAsia="仿宋_GB2312" w:cs="仿宋_GB2312"/>
          <w:color w:val="000000"/>
          <w:kern w:val="2"/>
          <w:sz w:val="32"/>
          <w:szCs w:val="32"/>
          <w:lang w:bidi="ar-SA"/>
        </w:rPr>
        <w:t>飘窗）相交的，为相对布置。</w:t>
      </w:r>
    </w:p>
    <w:p>
      <w:pPr>
        <w:jc w:val="center"/>
        <w:rPr>
          <w:rFonts w:hint="eastAsia" w:ascii="仿宋" w:eastAsia="仿宋" w:cs="仿宋"/>
          <w:color w:val="000000"/>
          <w:kern w:val="2"/>
          <w:sz w:val="28"/>
          <w:szCs w:val="28"/>
          <w:lang w:bidi="ar-SA"/>
        </w:rPr>
      </w:pPr>
      <w:r>
        <w:rPr>
          <w:rFonts w:ascii="仿宋" w:eastAsia="仿宋" w:cs="仿宋"/>
          <w:color w:val="000000"/>
          <w:kern w:val="2"/>
          <w:sz w:val="28"/>
          <w:szCs w:val="28"/>
          <w:lang w:bidi="ar-SA"/>
        </w:rPr>
        <w:drawing>
          <wp:inline distT="0" distB="0" distL="84455" distR="84455">
            <wp:extent cx="5417820" cy="1991995"/>
            <wp:effectExtent l="0" t="0" r="1905" b="8255"/>
            <wp:docPr id="39" name="图片"/>
            <wp:cNvGraphicFramePr/>
            <a:graphic xmlns:a="http://schemas.openxmlformats.org/drawingml/2006/main">
              <a:graphicData uri="http://schemas.openxmlformats.org/drawingml/2006/picture">
                <pic:pic xmlns:pic="http://schemas.openxmlformats.org/drawingml/2006/picture">
                  <pic:nvPicPr>
                    <pic:cNvPr id="39" name="图片"/>
                    <pic:cNvPicPr/>
                  </pic:nvPicPr>
                  <pic:blipFill>
                    <a:blip r:embed="rId10"/>
                    <a:stretch>
                      <a:fillRect/>
                    </a:stretch>
                  </pic:blipFill>
                  <pic:spPr>
                    <a:xfrm>
                      <a:off x="0" y="0"/>
                      <a:ext cx="5417820" cy="1991995"/>
                    </a:xfrm>
                    <a:prstGeom prst="rect">
                      <a:avLst/>
                    </a:prstGeom>
                    <a:solidFill>
                      <a:srgbClr val="FFFFFF"/>
                    </a:solidFill>
                    <a:ln w="9525" cap="flat" cmpd="sng">
                      <a:noFill/>
                      <a:prstDash val="solid"/>
                      <a:miter/>
                    </a:ln>
                  </pic:spPr>
                </pic:pic>
              </a:graphicData>
            </a:graphic>
          </wp:inline>
        </w:drawing>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6.</w:t>
      </w:r>
      <w:r>
        <w:rPr>
          <w:rFonts w:hint="eastAsia" w:ascii="仿宋_GB2312" w:eastAsia="仿宋_GB2312" w:cs="仿宋_GB2312"/>
          <w:color w:val="000000"/>
          <w:kern w:val="2"/>
          <w:sz w:val="32"/>
          <w:szCs w:val="32"/>
          <w:lang w:bidi="ar-SA"/>
        </w:rPr>
        <w:t>错位布置</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建筑外墙面（含阳台、外廊、</w:t>
      </w:r>
      <w:r>
        <w:rPr>
          <w:rFonts w:hint="eastAsia" w:ascii="仿宋_GB2312" w:eastAsia="仿宋_GB2312" w:cs="仿宋_GB2312"/>
          <w:color w:val="000000"/>
          <w:kern w:val="2"/>
          <w:sz w:val="32"/>
          <w:szCs w:val="32"/>
          <w:lang w:eastAsia="zh-CN" w:bidi="ar-SA"/>
        </w:rPr>
        <w:t>露台、</w:t>
      </w:r>
      <w:r>
        <w:rPr>
          <w:rFonts w:hint="eastAsia" w:ascii="仿宋_GB2312" w:eastAsia="仿宋_GB2312" w:cs="仿宋_GB2312"/>
          <w:color w:val="000000"/>
          <w:kern w:val="2"/>
          <w:sz w:val="32"/>
          <w:szCs w:val="32"/>
          <w:lang w:bidi="ar-SA"/>
        </w:rPr>
        <w:t>飘窗）的正投影面与相邻建筑的外墙面（含阳台、外廊、</w:t>
      </w:r>
      <w:r>
        <w:rPr>
          <w:rFonts w:hint="eastAsia" w:ascii="仿宋_GB2312" w:eastAsia="仿宋_GB2312" w:cs="仿宋_GB2312"/>
          <w:color w:val="000000"/>
          <w:kern w:val="2"/>
          <w:sz w:val="32"/>
          <w:szCs w:val="32"/>
          <w:lang w:eastAsia="zh-CN" w:bidi="ar-SA"/>
        </w:rPr>
        <w:t>露台、</w:t>
      </w:r>
      <w:r>
        <w:rPr>
          <w:rFonts w:hint="eastAsia" w:ascii="仿宋_GB2312" w:eastAsia="仿宋_GB2312" w:cs="仿宋_GB2312"/>
          <w:color w:val="000000"/>
          <w:kern w:val="2"/>
          <w:sz w:val="32"/>
          <w:szCs w:val="32"/>
          <w:lang w:bidi="ar-SA"/>
        </w:rPr>
        <w:t>飘窗）均不相交的，为错位布置。</w:t>
      </w:r>
    </w:p>
    <w:p>
      <w:pPr>
        <w:jc w:val="center"/>
        <w:rPr>
          <w:rFonts w:hint="eastAsia" w:ascii="仿宋" w:eastAsia="仿宋" w:cs="仿宋"/>
          <w:color w:val="000000"/>
          <w:kern w:val="2"/>
          <w:sz w:val="28"/>
          <w:szCs w:val="28"/>
          <w:lang w:bidi="ar-SA"/>
        </w:rPr>
      </w:pPr>
      <w:r>
        <w:rPr>
          <w:rFonts w:ascii="仿宋" w:eastAsia="仿宋" w:cs="仿宋"/>
          <w:color w:val="000000"/>
          <w:kern w:val="2"/>
          <w:sz w:val="28"/>
          <w:szCs w:val="28"/>
          <w:lang w:bidi="ar-SA"/>
        </w:rPr>
        <w:drawing>
          <wp:inline distT="0" distB="0" distL="84455" distR="84455">
            <wp:extent cx="3749040" cy="2030095"/>
            <wp:effectExtent l="0" t="0" r="3810" b="8255"/>
            <wp:docPr id="42" name="图片"/>
            <wp:cNvGraphicFramePr/>
            <a:graphic xmlns:a="http://schemas.openxmlformats.org/drawingml/2006/main">
              <a:graphicData uri="http://schemas.openxmlformats.org/drawingml/2006/picture">
                <pic:pic xmlns:pic="http://schemas.openxmlformats.org/drawingml/2006/picture">
                  <pic:nvPicPr>
                    <pic:cNvPr id="42" name="图片"/>
                    <pic:cNvPicPr/>
                  </pic:nvPicPr>
                  <pic:blipFill>
                    <a:blip r:embed="rId11"/>
                    <a:stretch>
                      <a:fillRect/>
                    </a:stretch>
                  </pic:blipFill>
                  <pic:spPr>
                    <a:xfrm>
                      <a:off x="0" y="0"/>
                      <a:ext cx="3749040" cy="2030095"/>
                    </a:xfrm>
                    <a:prstGeom prst="rect">
                      <a:avLst/>
                    </a:prstGeom>
                    <a:solidFill>
                      <a:srgbClr val="FFFFFF"/>
                    </a:solidFill>
                    <a:ln w="9525" cap="flat" cmpd="sng">
                      <a:noFill/>
                      <a:prstDash val="solid"/>
                      <a:miter/>
                    </a:ln>
                  </pic:spPr>
                </pic:pic>
              </a:graphicData>
            </a:graphic>
          </wp:inline>
        </w:drawing>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1</w:t>
      </w:r>
      <w:r>
        <w:rPr>
          <w:rFonts w:hint="eastAsia" w:ascii="仿宋_GB2312" w:eastAsia="仿宋_GB2312" w:cs="仿宋_GB2312"/>
          <w:color w:val="000000"/>
          <w:kern w:val="2"/>
          <w:sz w:val="32"/>
          <w:szCs w:val="32"/>
          <w:lang w:val="en-US" w:eastAsia="zh-CN" w:bidi="ar-SA"/>
        </w:rPr>
        <w:t>7.</w:t>
      </w:r>
      <w:r>
        <w:rPr>
          <w:rFonts w:hint="eastAsia" w:ascii="仿宋_GB2312" w:eastAsia="仿宋_GB2312" w:cs="仿宋_GB2312"/>
          <w:color w:val="000000"/>
          <w:kern w:val="2"/>
          <w:sz w:val="32"/>
          <w:szCs w:val="32"/>
          <w:lang w:bidi="ar-SA"/>
        </w:rPr>
        <w:t>建筑相对面</w:t>
      </w:r>
    </w:p>
    <w:p>
      <w:pPr>
        <w:spacing w:line="480" w:lineRule="exact"/>
        <w:ind w:firstLine="623"/>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建筑相对布置时，产生相对关系的面。若A建筑A1面的正投影面与B建筑的两个或者以上面（即：B1面、B2面……）相交，则B1面、B2面……中与A1面夹角小于或者等于60度的为A1面的相对面，与A1面夹角大于60度的，视为与A1面不产生相对关系，不是A1面的相对面。</w:t>
      </w:r>
    </w:p>
    <w:p>
      <w:pPr>
        <w:jc w:val="center"/>
        <w:rPr>
          <w:rFonts w:hint="eastAsia" w:ascii="仿宋" w:eastAsia="仿宋" w:cs="仿宋"/>
          <w:color w:val="000000"/>
          <w:kern w:val="2"/>
          <w:sz w:val="28"/>
          <w:szCs w:val="28"/>
          <w:lang w:bidi="ar-SA"/>
        </w:rPr>
      </w:pPr>
      <w:r>
        <w:rPr>
          <w:rFonts w:ascii="仿宋" w:eastAsia="仿宋" w:cs="仿宋"/>
          <w:color w:val="000000"/>
          <w:kern w:val="2"/>
          <w:sz w:val="28"/>
          <w:szCs w:val="28"/>
          <w:lang w:bidi="ar-SA"/>
        </w:rPr>
        <w:drawing>
          <wp:inline distT="0" distB="0" distL="84455" distR="84455">
            <wp:extent cx="5323840" cy="4033520"/>
            <wp:effectExtent l="0" t="0" r="635" b="5080"/>
            <wp:docPr id="45" name="图片"/>
            <wp:cNvGraphicFramePr/>
            <a:graphic xmlns:a="http://schemas.openxmlformats.org/drawingml/2006/main">
              <a:graphicData uri="http://schemas.openxmlformats.org/drawingml/2006/picture">
                <pic:pic xmlns:pic="http://schemas.openxmlformats.org/drawingml/2006/picture">
                  <pic:nvPicPr>
                    <pic:cNvPr id="45" name="图片"/>
                    <pic:cNvPicPr/>
                  </pic:nvPicPr>
                  <pic:blipFill>
                    <a:blip r:embed="rId12"/>
                    <a:stretch>
                      <a:fillRect/>
                    </a:stretch>
                  </pic:blipFill>
                  <pic:spPr>
                    <a:xfrm>
                      <a:off x="0" y="0"/>
                      <a:ext cx="5323840" cy="4033520"/>
                    </a:xfrm>
                    <a:prstGeom prst="rect">
                      <a:avLst/>
                    </a:prstGeom>
                    <a:solidFill>
                      <a:srgbClr val="FFFFFF"/>
                    </a:solidFill>
                    <a:ln w="9525" cap="flat" cmpd="sng">
                      <a:noFill/>
                      <a:prstDash val="solid"/>
                      <a:miter/>
                    </a:ln>
                  </pic:spPr>
                </pic:pic>
              </a:graphicData>
            </a:graphic>
          </wp:inline>
        </w:drawing>
      </w:r>
    </w:p>
    <w:p>
      <w:pPr>
        <w:spacing w:line="560" w:lineRule="exact"/>
        <w:ind w:firstLine="640" w:firstLineChars="200"/>
        <w:rPr>
          <w:rFonts w:hint="eastAsia" w:ascii="仿宋_GB2312" w:eastAsia="仿宋_GB2312" w:cs="仿宋_GB2312"/>
          <w:color w:val="000000"/>
          <w:sz w:val="32"/>
          <w:szCs w:val="32"/>
          <w:highlight w:val="none"/>
          <w:lang w:bidi="ar-SA"/>
        </w:rPr>
      </w:pPr>
      <w:r>
        <w:rPr>
          <w:rFonts w:hint="eastAsia" w:ascii="仿宋_GB2312" w:eastAsia="仿宋_GB2312" w:cs="仿宋_GB2312"/>
          <w:color w:val="000000"/>
          <w:sz w:val="32"/>
          <w:szCs w:val="32"/>
          <w:highlight w:val="none"/>
          <w:lang w:val="en-US" w:eastAsia="zh-CN" w:bidi="ar-SA"/>
        </w:rPr>
        <w:t>18.</w:t>
      </w:r>
      <w:r>
        <w:rPr>
          <w:rFonts w:hint="eastAsia" w:ascii="仿宋_GB2312" w:eastAsia="仿宋_GB2312" w:cs="仿宋_GB2312"/>
          <w:color w:val="000000"/>
          <w:sz w:val="32"/>
          <w:szCs w:val="32"/>
          <w:highlight w:val="none"/>
          <w:lang w:bidi="ar-SA"/>
        </w:rPr>
        <w:t>建筑容积率（容积率）：一定地块内，计容总建筑面积与建设用地面积的比值。表达公式为：</w:t>
      </w:r>
    </w:p>
    <w:p>
      <w:pPr>
        <w:spacing w:line="560" w:lineRule="exact"/>
        <w:ind w:firstLine="640" w:firstLineChars="200"/>
        <w:rPr>
          <w:rFonts w:hint="eastAsia" w:ascii="仿宋_GB2312" w:eastAsia="仿宋_GB2312" w:cs="仿宋_GB2312"/>
          <w:color w:val="000000"/>
          <w:sz w:val="32"/>
          <w:szCs w:val="32"/>
          <w:highlight w:val="none"/>
          <w:lang w:bidi="ar-SA"/>
        </w:rPr>
      </w:pPr>
      <w:r>
        <w:rPr>
          <w:rFonts w:hint="eastAsia" w:ascii="仿宋_GB2312" w:eastAsia="仿宋_GB2312" w:cs="仿宋_GB2312"/>
          <w:color w:val="000000"/>
          <w:sz w:val="32"/>
          <w:szCs w:val="32"/>
          <w:highlight w:val="none"/>
          <w:lang w:bidi="ar-SA"/>
        </w:rPr>
        <w:t>容积率=计容总建筑面积÷建设用地面积</w:t>
      </w:r>
    </w:p>
    <w:p>
      <w:pPr>
        <w:spacing w:line="560" w:lineRule="exact"/>
        <w:ind w:firstLine="640" w:firstLineChars="200"/>
        <w:rPr>
          <w:rFonts w:hint="eastAsia" w:ascii="仿宋_GB2312" w:eastAsia="仿宋_GB2312" w:cs="仿宋_GB2312"/>
          <w:color w:val="000000"/>
          <w:sz w:val="32"/>
          <w:szCs w:val="32"/>
          <w:highlight w:val="none"/>
          <w:lang w:bidi="ar-SA"/>
        </w:rPr>
      </w:pPr>
      <w:r>
        <w:rPr>
          <w:rFonts w:hint="eastAsia" w:ascii="仿宋_GB2312" w:eastAsia="仿宋_GB2312" w:cs="仿宋_GB2312"/>
          <w:color w:val="000000"/>
          <w:sz w:val="32"/>
          <w:szCs w:val="32"/>
          <w:highlight w:val="none"/>
          <w:lang w:bidi="ar-SA"/>
        </w:rPr>
        <w:t>容积率计算按照以下规定执行：</w:t>
      </w:r>
    </w:p>
    <w:p>
      <w:pPr>
        <w:spacing w:line="560" w:lineRule="exact"/>
        <w:ind w:firstLine="640" w:firstLineChars="200"/>
        <w:rPr>
          <w:rFonts w:hint="eastAsia" w:ascii="仿宋_GB2312" w:eastAsia="仿宋_GB2312" w:cs="仿宋_GB2312"/>
          <w:color w:val="000000"/>
          <w:sz w:val="32"/>
          <w:szCs w:val="32"/>
          <w:highlight w:val="none"/>
          <w:lang w:bidi="ar-SA"/>
        </w:rPr>
      </w:pPr>
      <w:r>
        <w:rPr>
          <w:rFonts w:hint="eastAsia" w:ascii="仿宋_GB2312" w:eastAsia="仿宋_GB2312" w:cs="仿宋_GB2312"/>
          <w:color w:val="000000"/>
          <w:sz w:val="32"/>
          <w:szCs w:val="32"/>
          <w:highlight w:val="none"/>
          <w:lang w:bidi="ar-SA"/>
        </w:rPr>
        <w:t>（1）地上建筑应当纳入容积率计算，地下建筑不纳入容积率计算；</w:t>
      </w:r>
    </w:p>
    <w:p>
      <w:pPr>
        <w:spacing w:line="560" w:lineRule="exact"/>
        <w:ind w:firstLine="640" w:firstLineChars="200"/>
        <w:rPr>
          <w:rFonts w:hint="eastAsia" w:ascii="仿宋_GB2312" w:eastAsia="仿宋_GB2312" w:cs="仿宋_GB2312"/>
          <w:color w:val="000000"/>
          <w:sz w:val="32"/>
          <w:szCs w:val="32"/>
          <w:highlight w:val="none"/>
          <w:lang w:bidi="ar-SA"/>
        </w:rPr>
      </w:pPr>
      <w:r>
        <w:rPr>
          <w:rFonts w:hint="eastAsia" w:ascii="仿宋_GB2312" w:eastAsia="仿宋_GB2312" w:cs="仿宋_GB2312"/>
          <w:color w:val="000000"/>
          <w:sz w:val="32"/>
          <w:szCs w:val="32"/>
          <w:highlight w:val="none"/>
          <w:lang w:bidi="ar-SA"/>
        </w:rPr>
        <w:t>（2）地上建筑局部被室外地坪掩埋的楼层，其被掩埋外墙长度占该层外墙周长（局部凹凸不计入）比例大于或者等于40%的，除集中车库和设备用房外，均应纳入容积率计算；小于40%的，均应纳入容积率计算；</w:t>
      </w:r>
    </w:p>
    <w:p>
      <w:pPr>
        <w:spacing w:line="560" w:lineRule="exact"/>
        <w:ind w:firstLine="640" w:firstLineChars="200"/>
        <w:rPr>
          <w:rFonts w:hint="eastAsia" w:ascii="仿宋_GB2312" w:eastAsia="仿宋_GB2312" w:cs="仿宋_GB2312"/>
          <w:color w:val="000000"/>
          <w:sz w:val="32"/>
          <w:szCs w:val="32"/>
          <w:highlight w:val="yellow"/>
          <w:lang w:bidi="ar-SA"/>
        </w:rPr>
      </w:pPr>
      <w:r>
        <w:rPr>
          <w:rFonts w:hint="eastAsia" w:ascii="仿宋_GB2312" w:eastAsia="仿宋_GB2312" w:cs="仿宋_GB2312"/>
          <w:color w:val="000000"/>
          <w:sz w:val="32"/>
          <w:szCs w:val="32"/>
          <w:highlight w:val="none"/>
          <w:lang w:bidi="ar-SA"/>
        </w:rPr>
        <w:t>（3）超出建设项目停车位配建标准增配的地上集中停车库，不纳入容积率计算。</w:t>
      </w:r>
    </w:p>
    <w:p>
      <w:pPr>
        <w:spacing w:line="460" w:lineRule="exact"/>
        <w:ind w:firstLine="624"/>
        <w:rPr>
          <w:rFonts w:hint="eastAsia" w:ascii="仿宋_GB2312" w:eastAsia="仿宋_GB2312" w:cs="仿宋_GB2312"/>
          <w:color w:val="000000"/>
          <w:kern w:val="2"/>
          <w:sz w:val="32"/>
          <w:szCs w:val="32"/>
          <w:u w:val="none"/>
          <w:lang w:eastAsia="zh-CN" w:bidi="ar-SA"/>
        </w:rPr>
      </w:pPr>
      <w:r>
        <w:rPr>
          <w:rFonts w:hint="eastAsia" w:ascii="仿宋_GB2312" w:eastAsia="仿宋_GB2312" w:cs="仿宋_GB2312"/>
          <w:color w:val="000000"/>
          <w:kern w:val="2"/>
          <w:sz w:val="32"/>
          <w:szCs w:val="32"/>
          <w:u w:val="none"/>
          <w:lang w:val="en-US" w:eastAsia="zh-CN" w:bidi="ar-SA"/>
        </w:rPr>
        <w:t>19.</w:t>
      </w:r>
      <w:r>
        <w:rPr>
          <w:rFonts w:hint="eastAsia" w:ascii="仿宋_GB2312" w:eastAsia="仿宋_GB2312" w:cs="仿宋_GB2312"/>
          <w:color w:val="000000"/>
          <w:kern w:val="2"/>
          <w:sz w:val="32"/>
          <w:szCs w:val="32"/>
          <w:u w:val="none"/>
          <w:lang w:eastAsia="zh-CN" w:bidi="ar-SA"/>
        </w:rPr>
        <w:t>建筑密度：指一定地块内，地上建筑的水平投影总面积占建设用地面积的百分比。计算公式为：</w:t>
      </w:r>
    </w:p>
    <w:p>
      <w:pPr>
        <w:spacing w:line="460" w:lineRule="exact"/>
        <w:ind w:firstLine="624"/>
        <w:rPr>
          <w:rFonts w:hint="eastAsia" w:ascii="仿宋_GB2312" w:eastAsia="仿宋_GB2312" w:cs="仿宋_GB2312"/>
          <w:color w:val="000000"/>
          <w:kern w:val="2"/>
          <w:sz w:val="32"/>
          <w:szCs w:val="32"/>
          <w:u w:val="none"/>
          <w:lang w:eastAsia="zh-CN" w:bidi="ar-SA"/>
        </w:rPr>
      </w:pPr>
      <w:r>
        <w:rPr>
          <w:rFonts w:hint="eastAsia" w:ascii="仿宋_GB2312" w:eastAsia="仿宋_GB2312" w:cs="仿宋_GB2312"/>
          <w:color w:val="000000"/>
          <w:kern w:val="2"/>
          <w:sz w:val="32"/>
          <w:szCs w:val="32"/>
          <w:u w:val="none"/>
          <w:lang w:eastAsia="zh-CN" w:bidi="ar-SA"/>
        </w:rPr>
        <w:t>建筑密度=地上建筑水平投影总面积÷建设用地面积×100%</w:t>
      </w:r>
    </w:p>
    <w:p>
      <w:pPr>
        <w:spacing w:line="460" w:lineRule="exact"/>
        <w:ind w:firstLine="624"/>
        <w:rPr>
          <w:rFonts w:hint="eastAsia" w:ascii="仿宋_GB2312" w:eastAsia="仿宋_GB2312" w:cs="仿宋_GB2312"/>
          <w:color w:val="000000"/>
          <w:kern w:val="2"/>
          <w:sz w:val="32"/>
          <w:szCs w:val="32"/>
          <w:u w:val="none"/>
          <w:lang w:eastAsia="zh-CN" w:bidi="ar-SA"/>
        </w:rPr>
      </w:pPr>
      <w:r>
        <w:rPr>
          <w:rFonts w:hint="eastAsia" w:ascii="仿宋_GB2312" w:eastAsia="仿宋_GB2312" w:cs="仿宋_GB2312"/>
          <w:color w:val="000000"/>
          <w:kern w:val="2"/>
          <w:sz w:val="32"/>
          <w:szCs w:val="32"/>
          <w:u w:val="none"/>
          <w:lang w:eastAsia="zh-CN" w:bidi="ar-SA"/>
        </w:rPr>
        <w:t>地上建筑水平投影总面积为以下两部分水平投影面积之和（叠加部分不重复计算）：</w:t>
      </w:r>
    </w:p>
    <w:p>
      <w:pPr>
        <w:spacing w:line="460" w:lineRule="exact"/>
        <w:ind w:firstLine="624"/>
        <w:rPr>
          <w:rFonts w:hint="eastAsia" w:ascii="仿宋_GB2312" w:eastAsia="仿宋_GB2312" w:cs="仿宋_GB2312"/>
          <w:color w:val="000000"/>
          <w:kern w:val="2"/>
          <w:sz w:val="32"/>
          <w:szCs w:val="32"/>
          <w:u w:val="none"/>
          <w:lang w:eastAsia="zh-CN" w:bidi="ar-SA"/>
        </w:rPr>
      </w:pPr>
      <w:r>
        <w:rPr>
          <w:rFonts w:hint="eastAsia" w:ascii="仿宋_GB2312" w:eastAsia="仿宋_GB2312" w:cs="仿宋_GB2312"/>
          <w:color w:val="000000"/>
          <w:kern w:val="2"/>
          <w:sz w:val="32"/>
          <w:szCs w:val="32"/>
          <w:u w:val="none"/>
          <w:lang w:eastAsia="zh-CN" w:bidi="ar-SA"/>
        </w:rPr>
        <w:t>（一）四周均未被室外地坪掩埋的地上建筑；</w:t>
      </w:r>
    </w:p>
    <w:p>
      <w:pPr>
        <w:spacing w:line="460" w:lineRule="exact"/>
        <w:ind w:firstLine="624"/>
        <w:rPr>
          <w:rFonts w:hint="eastAsia" w:ascii="仿宋_GB2312" w:eastAsia="仿宋_GB2312" w:cs="仿宋_GB2312"/>
          <w:color w:val="000000"/>
          <w:kern w:val="2"/>
          <w:sz w:val="32"/>
          <w:szCs w:val="32"/>
          <w:u w:val="none"/>
          <w:lang w:eastAsia="zh-CN" w:bidi="ar-SA"/>
        </w:rPr>
      </w:pPr>
      <w:r>
        <w:rPr>
          <w:rFonts w:hint="eastAsia" w:ascii="仿宋_GB2312" w:eastAsia="仿宋_GB2312" w:cs="仿宋_GB2312"/>
          <w:color w:val="000000"/>
          <w:kern w:val="2"/>
          <w:sz w:val="32"/>
          <w:szCs w:val="32"/>
          <w:u w:val="none"/>
          <w:lang w:eastAsia="zh-CN" w:bidi="ar-SA"/>
        </w:rPr>
        <w:t>（二）局部被室外地坪掩埋的地上建筑，其非掩埋外墙对应的 16米进深部分；进深不足16米的，据实计入。</w:t>
      </w:r>
    </w:p>
    <w:p>
      <w:pPr>
        <w:spacing w:line="460" w:lineRule="exact"/>
        <w:ind w:firstLine="624"/>
        <w:rPr>
          <w:rFonts w:hint="eastAsia" w:ascii="仿宋_GB2312" w:eastAsia="仿宋_GB2312" w:cs="仿宋_GB2312"/>
          <w:color w:val="000000"/>
          <w:kern w:val="2"/>
          <w:sz w:val="32"/>
          <w:szCs w:val="32"/>
          <w:u w:val="none"/>
          <w:lang w:eastAsia="zh-CN" w:bidi="ar-SA"/>
        </w:rPr>
      </w:pPr>
      <w:r>
        <w:rPr>
          <w:rFonts w:hint="eastAsia" w:ascii="仿宋_GB2312" w:eastAsia="仿宋_GB2312" w:cs="仿宋_GB2312"/>
          <w:color w:val="000000"/>
          <w:kern w:val="2"/>
          <w:sz w:val="32"/>
          <w:szCs w:val="32"/>
          <w:u w:val="none"/>
          <w:lang w:eastAsia="zh-CN" w:bidi="ar-SA"/>
        </w:rPr>
        <w:t>除雨篷、挑檐、构架之外的建筑各部分的水平投影面积，均计入地上建筑水平投影总面积</w:t>
      </w:r>
    </w:p>
    <w:p>
      <w:pPr>
        <w:spacing w:line="460" w:lineRule="exact"/>
        <w:ind w:left="64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20.</w:t>
      </w:r>
      <w:r>
        <w:rPr>
          <w:rFonts w:hint="eastAsia" w:ascii="仿宋_GB2312" w:eastAsia="仿宋_GB2312" w:cs="仿宋_GB2312"/>
          <w:color w:val="000000"/>
          <w:kern w:val="2"/>
          <w:sz w:val="32"/>
          <w:szCs w:val="32"/>
          <w:lang w:bidi="ar-SA"/>
        </w:rPr>
        <w:t>快速路</w:t>
      </w:r>
    </w:p>
    <w:p>
      <w:pPr>
        <w:spacing w:line="460" w:lineRule="exact"/>
        <w:ind w:left="0" w:firstLine="640" w:firstLineChars="200"/>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专为车速高、行程长的汽车交通连续通行设置的重要交通干路。城市人口200万以上的大城市内、带形城市或组团城市内</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应设置快速路</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并与城市出入口道路和市际高速公路有便捷的联系。设计行车速度要求达到60～80km/h。</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2</w:t>
      </w:r>
      <w:r>
        <w:rPr>
          <w:rFonts w:hint="eastAsia" w:ascii="仿宋_GB2312" w:eastAsia="仿宋_GB2312" w:cs="仿宋_GB2312"/>
          <w:color w:val="000000"/>
          <w:kern w:val="2"/>
          <w:sz w:val="32"/>
          <w:szCs w:val="32"/>
          <w:lang w:val="en-US" w:eastAsia="zh-CN" w:bidi="ar-SA"/>
        </w:rPr>
        <w:t>1.</w:t>
      </w:r>
      <w:r>
        <w:rPr>
          <w:rFonts w:hint="eastAsia" w:ascii="仿宋_GB2312" w:eastAsia="仿宋_GB2312" w:cs="仿宋_GB2312"/>
          <w:color w:val="000000"/>
          <w:kern w:val="2"/>
          <w:sz w:val="32"/>
          <w:szCs w:val="32"/>
          <w:lang w:bidi="ar-SA"/>
        </w:rPr>
        <w:t>主干路</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城市道路网的骨架</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是连接城市各主要分区的交通干路</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以交通功能为主</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它与快速路共同分担城市的主要客、货车流</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形成重要的交通走廊。设计行车速度为30～60km/h。</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2</w:t>
      </w:r>
      <w:r>
        <w:rPr>
          <w:rFonts w:hint="eastAsia" w:ascii="仿宋_GB2312" w:eastAsia="仿宋_GB2312" w:cs="仿宋_GB2312"/>
          <w:color w:val="000000"/>
          <w:kern w:val="2"/>
          <w:sz w:val="32"/>
          <w:szCs w:val="32"/>
          <w:lang w:val="en-US" w:eastAsia="zh-CN" w:bidi="ar-SA"/>
        </w:rPr>
        <w:t>2.</w:t>
      </w:r>
      <w:r>
        <w:rPr>
          <w:rFonts w:hint="eastAsia" w:ascii="仿宋_GB2312" w:eastAsia="仿宋_GB2312" w:cs="仿宋_GB2312"/>
          <w:color w:val="000000"/>
          <w:kern w:val="2"/>
          <w:sz w:val="32"/>
          <w:szCs w:val="32"/>
          <w:lang w:bidi="ar-SA"/>
        </w:rPr>
        <w:t>次干路</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城市主干路与支路间的车、人流主要交通集散道路</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应设置大量公共交通线路</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广泛联系城市各地。设计行车速度为20～50km/h。</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2</w:t>
      </w:r>
      <w:r>
        <w:rPr>
          <w:rFonts w:hint="eastAsia" w:ascii="仿宋_GB2312" w:eastAsia="仿宋_GB2312" w:cs="仿宋_GB2312"/>
          <w:color w:val="000000"/>
          <w:kern w:val="2"/>
          <w:sz w:val="32"/>
          <w:szCs w:val="32"/>
          <w:lang w:val="en-US" w:eastAsia="zh-CN" w:bidi="ar-SA"/>
        </w:rPr>
        <w:t>3.</w:t>
      </w:r>
      <w:r>
        <w:rPr>
          <w:rFonts w:hint="eastAsia" w:ascii="仿宋_GB2312" w:eastAsia="仿宋_GB2312" w:cs="仿宋_GB2312"/>
          <w:color w:val="000000"/>
          <w:kern w:val="2"/>
          <w:sz w:val="32"/>
          <w:szCs w:val="32"/>
          <w:lang w:bidi="ar-SA"/>
        </w:rPr>
        <w:t>支路</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次干路与居住区、工业区、市中心商业区、市政公用设施用地和交通设施用地内部道路的连接线。其上应有公共交通线路行驶</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并有沿街商店。支路的长度和面积率在城市道路网中占很大的比重</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在城市控制性详细规划时</w:t>
      </w:r>
      <w:r>
        <w:rPr>
          <w:rFonts w:hint="eastAsia" w:ascii="仿宋_GB2312" w:eastAsia="仿宋_GB2312" w:cs="仿宋_GB2312"/>
          <w:color w:val="000000"/>
          <w:kern w:val="2"/>
          <w:sz w:val="32"/>
          <w:szCs w:val="32"/>
          <w:lang w:eastAsia="zh-CN" w:bidi="ar-SA"/>
        </w:rPr>
        <w:t>，</w:t>
      </w:r>
      <w:r>
        <w:rPr>
          <w:rFonts w:hint="eastAsia" w:ascii="仿宋_GB2312" w:eastAsia="仿宋_GB2312" w:cs="仿宋_GB2312"/>
          <w:color w:val="000000"/>
          <w:kern w:val="2"/>
          <w:sz w:val="32"/>
          <w:szCs w:val="32"/>
          <w:lang w:bidi="ar-SA"/>
        </w:rPr>
        <w:t>应当保证上述用地内支路的路网密度。设计行车速度为20～40km/h。</w:t>
      </w:r>
    </w:p>
    <w:p>
      <w:pPr>
        <w:spacing w:line="460" w:lineRule="exact"/>
        <w:ind w:firstLine="624"/>
        <w:rPr>
          <w:rFonts w:hint="eastAsia" w:ascii="仿宋_GB2312" w:eastAsia="仿宋_GB2312" w:cs="仿宋_GB2312"/>
          <w:color w:val="000000"/>
          <w:kern w:val="2"/>
          <w:sz w:val="32"/>
          <w:szCs w:val="32"/>
          <w:lang w:val="en-US" w:eastAsia="zh-CN" w:bidi="ar-SA"/>
        </w:rPr>
      </w:pPr>
      <w:r>
        <w:rPr>
          <w:rFonts w:hint="eastAsia" w:ascii="仿宋_GB2312" w:eastAsia="仿宋_GB2312" w:cs="仿宋_GB2312"/>
          <w:color w:val="000000"/>
          <w:kern w:val="2"/>
          <w:sz w:val="32"/>
          <w:szCs w:val="32"/>
          <w:lang w:val="en-US" w:eastAsia="zh-CN" w:bidi="ar-SA"/>
        </w:rPr>
        <w:t>24.港湾式停靠站</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在道路车行道外侧，采取局部拓宽路面的公共交通停靠站。</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2</w:t>
      </w:r>
      <w:r>
        <w:rPr>
          <w:rFonts w:hint="eastAsia" w:ascii="仿宋_GB2312" w:eastAsia="仿宋_GB2312" w:cs="仿宋_GB2312"/>
          <w:color w:val="000000"/>
          <w:kern w:val="2"/>
          <w:sz w:val="32"/>
          <w:szCs w:val="32"/>
          <w:lang w:val="en-US" w:eastAsia="zh-CN" w:bidi="ar-SA"/>
        </w:rPr>
        <w:t>5.</w:t>
      </w:r>
      <w:r>
        <w:rPr>
          <w:rFonts w:hint="eastAsia" w:ascii="仿宋_GB2312" w:eastAsia="仿宋_GB2312" w:cs="仿宋_GB2312"/>
          <w:color w:val="000000"/>
          <w:kern w:val="2"/>
          <w:sz w:val="32"/>
          <w:szCs w:val="32"/>
          <w:lang w:bidi="ar-SA"/>
        </w:rPr>
        <w:t>城市公共停车场</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位于道路红线以外的独立占地的面向公众服务的停车场和由建筑物代建的不占独立用地的面向公众服务的停车场。</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2</w:t>
      </w:r>
      <w:r>
        <w:rPr>
          <w:rFonts w:hint="eastAsia" w:ascii="仿宋_GB2312" w:eastAsia="仿宋_GB2312" w:cs="仿宋_GB2312"/>
          <w:color w:val="000000"/>
          <w:kern w:val="2"/>
          <w:sz w:val="32"/>
          <w:szCs w:val="32"/>
          <w:lang w:val="en-US" w:eastAsia="zh-CN" w:bidi="ar-SA"/>
        </w:rPr>
        <w:t>6.</w:t>
      </w:r>
      <w:r>
        <w:rPr>
          <w:rFonts w:hint="eastAsia" w:ascii="仿宋_GB2312" w:eastAsia="仿宋_GB2312" w:cs="仿宋_GB2312"/>
          <w:color w:val="000000"/>
          <w:kern w:val="2"/>
          <w:sz w:val="32"/>
          <w:szCs w:val="32"/>
          <w:lang w:bidi="ar-SA"/>
        </w:rPr>
        <w:t>建筑物配建停车场</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建筑物依据建筑物配建停车位指标所附设的面向本建筑物使用者和公众服务的供机动车和非机动车停放的停车场。</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bidi="ar-SA"/>
        </w:rPr>
        <w:t>2</w:t>
      </w:r>
      <w:r>
        <w:rPr>
          <w:rFonts w:hint="eastAsia" w:ascii="仿宋_GB2312" w:eastAsia="仿宋_GB2312" w:cs="仿宋_GB2312"/>
          <w:color w:val="000000"/>
          <w:kern w:val="2"/>
          <w:sz w:val="32"/>
          <w:szCs w:val="32"/>
          <w:lang w:val="en-US" w:eastAsia="zh-CN" w:bidi="ar-SA"/>
        </w:rPr>
        <w:t>7.</w:t>
      </w:r>
      <w:r>
        <w:rPr>
          <w:rFonts w:hint="eastAsia" w:ascii="仿宋_GB2312" w:eastAsia="仿宋_GB2312" w:cs="仿宋_GB2312"/>
          <w:color w:val="000000"/>
          <w:kern w:val="2"/>
          <w:sz w:val="32"/>
          <w:szCs w:val="32"/>
          <w:lang w:bidi="ar-SA"/>
        </w:rPr>
        <w:t>高压走廊：在计算导线最大风偏和安全距离情况下，高压架空电力线路两边导线向外侧延伸一定距离所形成的两条平行线之间的专用通道。</w:t>
      </w:r>
    </w:p>
    <w:p>
      <w:pPr>
        <w:spacing w:line="460" w:lineRule="exact"/>
        <w:ind w:firstLine="624"/>
        <w:rPr>
          <w:rFonts w:hint="eastAsia" w:ascii="仿宋_GB2312" w:eastAsia="仿宋_GB2312" w:cs="仿宋_GB2312"/>
          <w:color w:val="000000"/>
          <w:kern w:val="2"/>
          <w:sz w:val="32"/>
          <w:szCs w:val="32"/>
          <w:lang w:bidi="ar-SA"/>
        </w:rPr>
      </w:pPr>
      <w:r>
        <w:rPr>
          <w:rFonts w:hint="eastAsia" w:ascii="仿宋_GB2312" w:eastAsia="仿宋_GB2312" w:cs="仿宋_GB2312"/>
          <w:color w:val="000000"/>
          <w:kern w:val="2"/>
          <w:sz w:val="32"/>
          <w:szCs w:val="32"/>
          <w:lang w:val="en-US" w:eastAsia="zh-CN" w:bidi="ar-SA"/>
        </w:rPr>
        <w:t>28.</w:t>
      </w:r>
      <w:r>
        <w:rPr>
          <w:rFonts w:hint="eastAsia" w:ascii="仿宋_GB2312" w:eastAsia="仿宋_GB2312" w:cs="仿宋_GB2312"/>
          <w:color w:val="000000"/>
          <w:kern w:val="2"/>
          <w:sz w:val="32"/>
          <w:szCs w:val="32"/>
          <w:lang w:bidi="ar-SA"/>
        </w:rPr>
        <w:t>海绵城市：运用低影响开发理念，改变传统城市建大管子、以快排为主的雨水处理方式，借助自然力量排水，源头分散、慢排缓释，就近收集、存蓄、渗透、净化雨水，让城市如同生态海绵般舒畅地呼吸吐纳，实现雨水在城市中的自然迁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
    <w:altName w:val="仿宋"/>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B3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0"/>
      <w:lang w:val="en-US" w:eastAsia="zh-CN" w:bidi="ar-SA"/>
    </w:rPr>
  </w:style>
  <w:style w:type="paragraph" w:styleId="3">
    <w:name w:val="heading 2"/>
    <w:basedOn w:val="1"/>
    <w:next w:val="1"/>
    <w:qFormat/>
    <w:uiPriority w:val="0"/>
    <w:pPr>
      <w:keepNext/>
      <w:keepLines/>
      <w:widowControl w:val="0"/>
      <w:spacing w:before="260" w:after="260" w:line="415" w:lineRule="auto"/>
      <w:ind w:left="0" w:right="0"/>
      <w:jc w:val="both"/>
      <w:outlineLvl w:val="1"/>
    </w:pPr>
    <w:rPr>
      <w:rFonts w:ascii="Cambria" w:hAnsi="Cambria" w:eastAsia="宋体" w:cs="Times New Roman"/>
      <w:b/>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2023-09-20T11:22:13Z</dcterms:created>
  <dc:creator>Rubao</dc:creator>
  <cp:lastModifiedBy>Rubao</cp:lastModifiedBy>
  <dcterms:modified xsi:type="dcterms:W3CDTF">2023-09-20T11:22:34Z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