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  <w:bookmarkStart w:id="0" w:name="_GoBack"/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附录三  附表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</w:pPr>
      <w:r>
        <w:rPr>
          <w:sz w:val="18"/>
        </w:rPr>
        <mc:AlternateContent>
          <mc:Choice Requires="wps">
            <w:drawing>
              <wp:anchor distT="0" distB="0" distL="113665" distR="113665" simplePos="0" relativeHeight="10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301625</wp:posOffset>
                </wp:positionV>
                <wp:extent cx="708660" cy="518160"/>
                <wp:effectExtent l="2540" t="3810" r="3175" b="11430"/>
                <wp:wrapNone/>
                <wp:docPr id="5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51816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65pt;margin-top:23.75pt;height:40.8pt;width:55.8pt;z-index:1024;mso-width-relative:page;mso-height-relative:page;" filled="f" stroked="t" coordsize="21600,21600" o:gfxdata="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eM6HXAAAACgEAAA8AAAAAAAAAAQAgAAAAIgAAAGRycy9kb3ducmV2Lnht&#10;bFBLAQIUABQAAAAIAIdO4kCXxdxZ+gEAANQ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附表一  各类用地建设内容适建表</w:t>
      </w:r>
    </w:p>
    <w:tbl>
      <w:tblPr>
        <w:tblStyle w:val="5"/>
        <w:tblW w:w="143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207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03"/>
        <w:gridCol w:w="550"/>
        <w:gridCol w:w="6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000000" w:sz="6" w:space="0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用地类别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firstLine="176" w:firstLineChars="98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firstLine="536" w:firstLineChars="298"/>
              <w:jc w:val="both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相容项目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ind w:firstLine="0"/>
              <w:jc w:val="both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兼容建筑</w:t>
            </w:r>
          </w:p>
        </w:tc>
        <w:tc>
          <w:tcPr>
            <w:tcW w:w="11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居住用地</w:t>
            </w:r>
          </w:p>
        </w:tc>
        <w:tc>
          <w:tcPr>
            <w:tcW w:w="237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公共管理与公共服务设施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商业服务业设施</w:t>
            </w:r>
          </w:p>
        </w:tc>
        <w:tc>
          <w:tcPr>
            <w:tcW w:w="11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工业用地</w:t>
            </w:r>
          </w:p>
        </w:tc>
        <w:tc>
          <w:tcPr>
            <w:tcW w:w="11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物流仓储</w:t>
            </w:r>
          </w:p>
        </w:tc>
        <w:tc>
          <w:tcPr>
            <w:tcW w:w="1584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道路与交通设施</w:t>
            </w:r>
          </w:p>
        </w:tc>
        <w:tc>
          <w:tcPr>
            <w:tcW w:w="1188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公用设施</w:t>
            </w:r>
          </w:p>
        </w:tc>
        <w:tc>
          <w:tcPr>
            <w:tcW w:w="162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绿地与广场</w:t>
            </w:r>
            <w:r>
              <w:rPr>
                <w:rFonts w:hint="eastAsia" w:ascii="仿宋" w:eastAsia="仿宋" w:cs="仿宋"/>
                <w:i/>
                <w:color w:val="000000"/>
                <w:sz w:val="18"/>
                <w:szCs w:val="18"/>
                <w:lang w:bidi="ar-SA"/>
              </w:rPr>
              <w:t>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R1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R2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R3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A1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A2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A3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A4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A5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A6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B1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B2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B3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B4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M1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M2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M3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W1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W2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W3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S1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S2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S3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S4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U1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U2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U3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G1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G2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/>
                <w:color w:val="000000"/>
                <w:sz w:val="15"/>
                <w:szCs w:val="15"/>
                <w:lang w:bidi="ar-SA"/>
              </w:rPr>
            </w:pPr>
            <w:r>
              <w:rPr>
                <w:rFonts w:hint="eastAsia" w:ascii="仿宋" w:eastAsia="仿宋" w:cs="仿宋"/>
                <w:i/>
                <w:color w:val="000000"/>
                <w:sz w:val="15"/>
                <w:szCs w:val="15"/>
                <w:lang w:bidi="ar-SA"/>
              </w:rPr>
              <w:t>G3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底层居住建筑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多层居住建筑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高层居住建筑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教育设施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商业商务设施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文化设施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医疗设施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体育设施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市场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办公建筑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酒店、旅馆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商住综合楼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5"/>
                <w:szCs w:val="15"/>
                <w:lang w:bidi="ar-SA"/>
              </w:rPr>
              <w:t>对环境基本无干扰、污染的工厂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对环境有干扰、污染的工厂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普通储运仓库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危险品仓库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社会停车场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加油站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i/>
                <w:iCs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中小学、幼儿园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△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○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bidi="ar-SA"/>
              </w:rPr>
              <w:t>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40" w:firstLineChars="1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注：1.“△ ”适建，“×”不适建；“○”由市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>自然资源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行政主管部门根据具体条件和规划要求确定。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2. 表中未列出的建设项目，应由城市规划管理部门根据对周围环境的影响和基础设施的条件，具体核定。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960" w:hanging="960" w:hangingChars="4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 xml:space="preserve">    </w:t>
      </w: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3.当商业商务用地兼容居住时，商业商务计容建筑面积不得﹤总计容建筑面积的70%；当控规中明确表示居住用地兼容商业商务时，居住建筑面积不得＜计容面积的70%；控规中未明确表示时，居住用地一般可兼容部分商业商务用地，兼容的商业商务建筑面积＜计容建筑面积的15%（规划有特殊要求的除外）。</w:t>
      </w:r>
    </w:p>
    <w:p>
      <w:pPr>
        <w:widowControl/>
        <w:jc w:val="left"/>
        <w:rPr>
          <w:rFonts w:hint="eastAsia" w:ascii="仿宋_GB2312" w:eastAsia="仿宋_GB2312" w:cs="仿宋_GB2312"/>
          <w:color w:val="000000"/>
          <w:lang w:bidi="ar-SA"/>
        </w:rPr>
        <w:sectPr>
          <w:footerReference r:id="rId3" w:type="default"/>
          <w:pgSz w:w="16838" w:h="11911" w:orient="landscape"/>
          <w:pgMar w:top="1417" w:right="1417" w:bottom="1417" w:left="1417" w:header="720" w:footer="992" w:gutter="0"/>
          <w:cols w:space="720" w:num="1"/>
          <w:rtlGutter w:val="1"/>
          <w:docGrid w:linePitch="435" w:charSpace="0"/>
        </w:sectPr>
      </w:pPr>
    </w:p>
    <w:p>
      <w:pPr>
        <w:spacing w:line="510" w:lineRule="atLeast"/>
        <w:ind w:firstLine="623"/>
        <w:jc w:val="center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附表二  建筑容积率、建筑密度控制指标表</w:t>
      </w:r>
    </w:p>
    <w:tbl>
      <w:tblPr>
        <w:tblStyle w:val="5"/>
        <w:tblW w:w="14218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3412"/>
        <w:gridCol w:w="3839"/>
        <w:gridCol w:w="36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7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000000" w:sz="6" w:space="0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  <w:t>建筑密度、建筑容积率</w:t>
            </w:r>
          </w:p>
          <w:p>
            <w:pPr>
              <w:spacing w:line="510" w:lineRule="atLeast"/>
              <w:ind w:firstLine="1261" w:firstLineChars="598"/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  <w:t>建筑类型</w:t>
            </w:r>
          </w:p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b/>
                <w:bCs/>
                <w:i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  <w:t>建筑密度（%）</w:t>
            </w:r>
          </w:p>
        </w:tc>
        <w:tc>
          <w:tcPr>
            <w:tcW w:w="362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b/>
                <w:bCs/>
                <w:i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1"/>
                <w:szCs w:val="21"/>
                <w:lang w:bidi="ar-SA"/>
              </w:rPr>
              <w:t>容积率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居住建筑</w:t>
            </w:r>
          </w:p>
        </w:tc>
        <w:tc>
          <w:tcPr>
            <w:tcW w:w="3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27米以下（含27米）</w:t>
            </w:r>
          </w:p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≦30</w:t>
            </w:r>
          </w:p>
        </w:tc>
        <w:tc>
          <w:tcPr>
            <w:tcW w:w="3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≦2.0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/>
        </w:tc>
        <w:tc>
          <w:tcPr>
            <w:tcW w:w="34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27米以上</w:t>
            </w:r>
          </w:p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≦25</w:t>
            </w:r>
          </w:p>
        </w:tc>
        <w:tc>
          <w:tcPr>
            <w:tcW w:w="3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≦2.5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商业、商务建筑</w:t>
            </w:r>
          </w:p>
        </w:tc>
        <w:tc>
          <w:tcPr>
            <w:tcW w:w="34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24米以下（含24米）</w:t>
            </w:r>
          </w:p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商业建筑≦55</w:t>
            </w:r>
          </w:p>
        </w:tc>
        <w:tc>
          <w:tcPr>
            <w:tcW w:w="36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≦2.0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/>
        </w:tc>
        <w:tc>
          <w:tcPr>
            <w:tcW w:w="34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/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商务建筑≦35</w:t>
            </w:r>
          </w:p>
        </w:tc>
        <w:tc>
          <w:tcPr>
            <w:tcW w:w="36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/>
        </w:tc>
        <w:tc>
          <w:tcPr>
            <w:tcW w:w="34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24米以上100米以下（含100米）</w:t>
            </w:r>
          </w:p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商业建筑≦50</w:t>
            </w:r>
          </w:p>
        </w:tc>
        <w:tc>
          <w:tcPr>
            <w:tcW w:w="36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≦3.5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/>
        </w:tc>
        <w:tc>
          <w:tcPr>
            <w:tcW w:w="34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/>
        </w:tc>
        <w:tc>
          <w:tcPr>
            <w:tcW w:w="3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</w:tcPr>
          <w:p>
            <w:pPr>
              <w:spacing w:line="510" w:lineRule="atLeast"/>
              <w:jc w:val="center"/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  <w:lang w:bidi="ar-SA"/>
              </w:rPr>
              <w:t>商务建筑≦35</w:t>
            </w:r>
          </w:p>
        </w:tc>
        <w:tc>
          <w:tcPr>
            <w:tcW w:w="36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/>
          </w:tcPr>
          <w:p/>
        </w:tc>
      </w:tr>
    </w:tbl>
    <w:p>
      <w:pPr>
        <w:spacing w:line="440" w:lineRule="exact"/>
        <w:rPr>
          <w:rFonts w:hint="eastAsia" w:ascii="仿宋_GB2312" w:eastAsia="仿宋_GB2312" w:cs="仿宋_GB2312"/>
          <w:color w:val="000000"/>
          <w:sz w:val="21"/>
          <w:szCs w:val="21"/>
          <w:lang w:bidi="ar-SA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  <w:lang w:bidi="ar-SA"/>
        </w:rPr>
        <w:t xml:space="preserve">  注：当商业、商务、居住等用地性质混合使用时，其容积率不得突破各用地的最大容积率的平均值</w:t>
      </w:r>
    </w:p>
    <w:p>
      <w:pPr>
        <w:widowControl/>
        <w:jc w:val="left"/>
        <w:rPr>
          <w:rFonts w:hint="eastAsia" w:ascii="仿宋" w:eastAsia="仿宋" w:cs="仿宋"/>
          <w:color w:val="000000"/>
          <w:sz w:val="21"/>
          <w:szCs w:val="21"/>
          <w:lang w:bidi="ar-SA"/>
        </w:rPr>
        <w:sectPr>
          <w:pgSz w:w="16838" w:h="11911" w:orient="landscape"/>
          <w:pgMar w:top="1701" w:right="1417" w:bottom="1701" w:left="1417" w:header="720" w:footer="992" w:gutter="0"/>
          <w:cols w:space="720" w:num="1"/>
          <w:rtlGutter w:val="1"/>
          <w:docGrid w:linePitch="435" w:charSpace="0"/>
        </w:sectPr>
      </w:pPr>
    </w:p>
    <w:p>
      <w:pPr>
        <w:pStyle w:val="4"/>
        <w:spacing w:before="300" w:after="300" w:line="368" w:lineRule="atLeast"/>
        <w:ind w:firstLine="420"/>
        <w:jc w:val="center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bidi="ar-SA"/>
        </w:rPr>
        <w:t>附表三  中心城区建筑物停车泊位配建指标</w:t>
      </w:r>
    </w:p>
    <w:tbl>
      <w:tblPr>
        <w:tblStyle w:val="5"/>
        <w:tblW w:w="94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91"/>
        <w:gridCol w:w="2880"/>
        <w:gridCol w:w="272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368" w:lineRule="atLeas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  <w:t>序号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368" w:lineRule="atLeast"/>
              <w:ind w:firstLine="42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  <w:t>建筑使用功能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368" w:lineRule="atLeast"/>
              <w:ind w:firstLine="42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  <w:t>单位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368" w:lineRule="atLeas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lang w:bidi="ar-SA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1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住宅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240" w:firstLineChars="100"/>
              <w:jc w:val="both"/>
              <w:rPr>
                <w:rFonts w:hint="eastAsia" w:ascii="仿宋_GB2312" w:eastAsia="仿宋_GB2312" w:cs="仿宋_GB2312"/>
                <w:color w:val="00000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val="en-US" w:eastAsia="zh-CN" w:bidi="ar-SA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2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商业、办公、酒店、公寓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240" w:firstLineChars="100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3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医院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三甲医院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240" w:firstLineChars="100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其他医院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240" w:firstLineChars="100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4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展览馆、科技馆、图书馆、剧院等文化设施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5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场馆（不包括设在学校内的体育场（馆））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会展中心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大型体育场（馆）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其他体育场（馆）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6</w:t>
            </w: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学校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大中专院校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中小学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车位/班级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幼儿园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7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长途客运站、火车站、机场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4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公园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车位/100㎡陆地面积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pStyle w:val="4"/>
              <w:spacing w:before="300" w:after="300" w:line="520" w:lineRule="exact"/>
              <w:ind w:firstLine="0"/>
              <w:jc w:val="center"/>
              <w:rPr>
                <w:rFonts w:hint="eastAsia" w:ascii="仿宋_GB2312" w:eastAsia="仿宋_GB2312" w:cs="仿宋_GB2312"/>
                <w:color w:val="000000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lang w:bidi="ar-SA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00" w:lineRule="exact"/>
        <w:ind w:left="703" w:hanging="720" w:hangingChars="3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3" w:hanging="720" w:hangingChars="3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注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  <w:t>：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1.本表中停车位均指小型汽车的停车位，微型车位不纳入指标计算，计算出的停车位数量不足1个的按照1个计算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kern w:val="2"/>
          <w:sz w:val="24"/>
          <w:szCs w:val="24"/>
          <w:lang w:val="en-US" w:eastAsia="zh-CN" w:bidi="ar-SA"/>
        </w:rPr>
        <w:t>2.保障性住房可按0.5辆/100平方米配套；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>3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.本表中停车位为建设项目应当配建的停车位数量下限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>4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.综合性建筑应按各类性质和规模分别计算并累加；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>5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.居住区室外停车泊位一般不超过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  <w:t>住宅总套数</w:t>
      </w:r>
      <w:r>
        <w:rPr>
          <w:rFonts w:hint="eastAsia" w:ascii="仿宋_GB2312" w:eastAsia="仿宋_GB2312" w:cs="仿宋_GB2312"/>
          <w:color w:val="000000"/>
          <w:sz w:val="24"/>
          <w:szCs w:val="24"/>
          <w:lang w:bidi="ar-SA"/>
        </w:rPr>
        <w:t>的10%</w:t>
      </w:r>
      <w:r>
        <w:rPr>
          <w:rFonts w:hint="eastAsia" w:ascii="仿宋_GB2312" w:eastAsia="仿宋_GB2312" w:cs="仿宋_GB2312"/>
          <w:color w:val="000000"/>
          <w:sz w:val="24"/>
          <w:szCs w:val="24"/>
          <w:lang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leftChars="150" w:hanging="240" w:hangingChars="100"/>
        <w:textAlignment w:val="auto"/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24"/>
          <w:szCs w:val="24"/>
          <w:lang w:val="en-US" w:eastAsia="zh-CN" w:bidi="ar-SA"/>
        </w:rPr>
        <w:t>6.各县（市）可结合当地机动车机动化发展水平、居住区所处区位、用地及公共交通条件综合确定停车位配建标准。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both"/>
        <w:textAlignment w:val="auto"/>
        <w:rPr>
          <w:rFonts w:hint="eastAsia" w:ascii="仿宋_GB2312" w:eastAsia="仿宋_GB2312" w:cs="仿宋_GB2312"/>
          <w:bCs/>
          <w:sz w:val="30"/>
          <w:szCs w:val="30"/>
          <w:lang w:val="en-US" w:eastAsia="zh-CN" w:bidi="ar-SA"/>
        </w:rPr>
      </w:pPr>
    </w:p>
    <w:p/>
    <w:sectPr>
      <w:headerReference r:id="rId4" w:type="default"/>
      <w:footerReference r:id="rId5" w:type="default"/>
      <w:pgSz w:w="11911" w:h="16838"/>
      <w:pgMar w:top="2098" w:right="1474" w:bottom="1984" w:left="1587" w:header="720" w:footer="1417" w:gutter="0"/>
      <w:cols w:space="720" w:num="1"/>
      <w:rtlGutter w:val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48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41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8.15pt;width:56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HmQ&#10;MdcAAAAEAQAADwAAAAAAAAABACAAAAAiAAAAZHJzL2Rvd25yZXYueG1sUEsBAhQAFAAAAAgAh07i&#10;QLGjk+3qAQAAqAMAAA4AAAAAAAAAAQAgAAAAJgEAAGRycy9lMm9Eb2MueG1sUEsFBgAAAAAGAAYA&#10;WQEAAII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41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53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6" o:spid="_x0000_s1026" o:spt="1" style="position:absolute;left:0pt;margin-top:0pt;height:18.15pt;width:56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HmQ&#10;MdcAAAAEAQAADwAAAAAAAAABACAAAAAiAAAAZHJzL2Rvd25yZXYueG1sUEsBAhQAFAAAAAgAh07i&#10;QGEZywXqAQAAqAMAAA4AAAAAAAAAAQAgAAAAJgEAAGRycy9lMm9Eb2MueG1sUEsFBgAAAAAGAAYA&#10;WQEAAII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43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2023-09-20T11:23:45Z</dcterms:created>
  <dc:creator>Rubao</dc:creator>
  <cp:lastModifiedBy>Rubao</cp:lastModifiedBy>
  <dcterms:modified xsi:type="dcterms:W3CDTF">2023-09-20T11:24:03Z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