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lang w:eastAsia="zh-CN"/>
        </w:rPr>
        <w:t>附件</w:t>
      </w:r>
    </w:p>
    <w:p>
      <w:pPr>
        <w:pStyle w:val="4"/>
        <w:ind w:left="0" w:leftChars="0" w:firstLine="440" w:firstLineChars="100"/>
        <w:jc w:val="both"/>
        <w:rPr>
          <w:rFonts w:hint="default" w:ascii="Times New Roman" w:hAnsi="Times New Roman" w:eastAsia="方正小标宋简体" w:cs="Times New Roman"/>
          <w:color w:val="auto"/>
          <w:sz w:val="44"/>
          <w:szCs w:val="44"/>
          <w:lang w:eastAsia="zh-CN"/>
        </w:rPr>
      </w:pPr>
    </w:p>
    <w:p>
      <w:pPr>
        <w:pStyle w:val="4"/>
        <w:ind w:left="0" w:leftChars="0" w:firstLine="440" w:firstLineChars="100"/>
        <w:jc w:val="both"/>
        <w:rPr>
          <w:rFonts w:hint="default" w:ascii="Times New Roman" w:hAnsi="Times New Roman" w:eastAsia="方正小标宋简体" w:cs="Times New Roman"/>
          <w:color w:val="auto"/>
          <w:lang w:eastAsia="zh-CN"/>
        </w:rPr>
      </w:pPr>
      <w:r>
        <w:rPr>
          <w:rFonts w:hint="default" w:ascii="Times New Roman" w:hAnsi="Times New Roman" w:eastAsia="方正小标宋简体" w:cs="Times New Roman"/>
          <w:color w:val="auto"/>
          <w:sz w:val="44"/>
          <w:szCs w:val="44"/>
          <w:lang w:eastAsia="zh-CN"/>
        </w:rPr>
        <w:t>调整由成都市及7个区域中心城市实施的省级行政职权事项目录</w:t>
      </w:r>
    </w:p>
    <w:tbl>
      <w:tblPr>
        <w:tblStyle w:val="7"/>
        <w:tblW w:w="152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
        <w:gridCol w:w="2858"/>
        <w:gridCol w:w="3194"/>
        <w:gridCol w:w="1057"/>
        <w:gridCol w:w="1690"/>
        <w:gridCol w:w="1922"/>
        <w:gridCol w:w="723"/>
        <w:gridCol w:w="726"/>
        <w:gridCol w:w="2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blHeader/>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序号</w:t>
            </w:r>
          </w:p>
        </w:tc>
        <w:tc>
          <w:tcPr>
            <w:tcW w:w="60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省级事项名称</w:t>
            </w:r>
          </w:p>
        </w:tc>
        <w:tc>
          <w:tcPr>
            <w:tcW w:w="10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事项</w:t>
            </w:r>
            <w:r>
              <w:rPr>
                <w:rFonts w:hint="default" w:ascii="Times New Roman" w:hAnsi="Times New Roman" w:eastAsia="方正黑体简体" w:cs="Times New Roman"/>
                <w:i w:val="0"/>
                <w:color w:val="auto"/>
                <w:kern w:val="0"/>
                <w:sz w:val="24"/>
                <w:szCs w:val="24"/>
                <w:u w:val="none"/>
                <w:lang w:val="en-US" w:eastAsia="zh-CN" w:bidi="ar"/>
              </w:rPr>
              <w:br w:type="textWrapping"/>
            </w:r>
            <w:r>
              <w:rPr>
                <w:rFonts w:hint="default" w:ascii="Times New Roman" w:hAnsi="Times New Roman" w:eastAsia="方正黑体简体" w:cs="Times New Roman"/>
                <w:i w:val="0"/>
                <w:color w:val="auto"/>
                <w:kern w:val="0"/>
                <w:sz w:val="24"/>
                <w:szCs w:val="24"/>
                <w:u w:val="none"/>
                <w:lang w:val="en-US" w:eastAsia="zh-CN" w:bidi="ar"/>
              </w:rPr>
              <w:t>类别</w:t>
            </w:r>
          </w:p>
        </w:tc>
        <w:tc>
          <w:tcPr>
            <w:tcW w:w="1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实施单位</w:t>
            </w:r>
          </w:p>
        </w:tc>
        <w:tc>
          <w:tcPr>
            <w:tcW w:w="19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赋权对象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赋权方式</w:t>
            </w:r>
          </w:p>
        </w:tc>
        <w:tc>
          <w:tcPr>
            <w:tcW w:w="26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blHeader/>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黑体简体" w:cs="Times New Roman"/>
                <w:i w:val="0"/>
                <w:color w:val="auto"/>
                <w:sz w:val="24"/>
                <w:szCs w:val="24"/>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主项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赋权内容</w:t>
            </w: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黑体简体" w:cs="Times New Roman"/>
                <w:i w:val="0"/>
                <w:color w:val="auto"/>
                <w:sz w:val="24"/>
                <w:szCs w:val="24"/>
                <w:u w:val="none"/>
              </w:rPr>
            </w:pPr>
          </w:p>
        </w:tc>
        <w:tc>
          <w:tcPr>
            <w:tcW w:w="1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黑体简体" w:cs="Times New Roman"/>
                <w:i w:val="0"/>
                <w:color w:val="auto"/>
                <w:sz w:val="24"/>
                <w:szCs w:val="24"/>
                <w:u w:val="none"/>
              </w:rPr>
            </w:pPr>
          </w:p>
        </w:tc>
        <w:tc>
          <w:tcPr>
            <w:tcW w:w="19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黑体简体" w:cs="Times New Roman"/>
                <w:i w:val="0"/>
                <w:color w:val="auto"/>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下放</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委托</w:t>
            </w:r>
          </w:p>
        </w:tc>
        <w:tc>
          <w:tcPr>
            <w:tcW w:w="26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黑体简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5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黑体简体" w:cs="Times New Roman"/>
                <w:i w:val="0"/>
                <w:color w:val="auto"/>
                <w:sz w:val="24"/>
                <w:szCs w:val="24"/>
                <w:u w:val="none"/>
              </w:rPr>
            </w:pPr>
            <w:r>
              <w:rPr>
                <w:rFonts w:hint="default" w:ascii="Times New Roman" w:hAnsi="Times New Roman" w:eastAsia="方正黑体简体" w:cs="Times New Roman"/>
                <w:i w:val="0"/>
                <w:color w:val="auto"/>
                <w:kern w:val="0"/>
                <w:sz w:val="24"/>
                <w:szCs w:val="24"/>
                <w:u w:val="none"/>
                <w:lang w:val="en-US" w:eastAsia="zh-CN" w:bidi="ar"/>
              </w:rPr>
              <w:t>一、行政权力事项（69项）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固定资产投资项目核准（含国发〔2016〕72号文件规定的外商投资项目）（非技术改造类）</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铁矿、有色矿山开发项目核准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省发展改革委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黄金采选矿项目核准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省发展改革委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4"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跨省内重要江河（现状或规划为三级及以上通航段）的城市道路桥梁、隧道项目核准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省发展改革委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火电站项目核准（除燃气、农林生物质发电非热电联产项目外）</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省发展改革委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燃煤项目需列入国家和省电力发展专项规划，在国家依据总量控制制定的建设规划内核准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9"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热电站项目核准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省发展改革委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燃煤燃气项目需列入省电力发展专项规划，其中抽凝式燃煤热电机组在国家依据总量控制制定的建设规划内核准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律师执业、变更执业机构许可(含香港、澳门永久性居民中的中国居民及台湾居民申请律师执业、变更执业机构)</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司法厅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成都市、泸州市、德阳市、绵阳市、乐山市、南充市、达州市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律师事务所及分所设立、变更、注销许可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司法厅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成都市、泸州市、德阳市、绵阳市、乐山市、南充市、达州市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法律援助律师、公职律师、公司律师工作证颁发</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在市级及以下单位法律援助律师、公职律师、公司律师工作证颁发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行政确认</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司法厅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成都市、泸州市、德阳市、绵阳市、乐山市、南充市、达州市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对律师、律师事务所严重违法行为的行政处罚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仅限于对律师故意犯罪受到刑事处罚的行政处罚</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司法厅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成都市、泸州市、德阳市、绵阳市、乐山市、南充市、达州市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一般建设项目环境影响评价审批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酒、饮料制造建设项目环境影响评价文件审批：有发酵工艺的白酒、酒精制造</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绵阳市、乐山市、南充市、达州市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2020年2月，经省政府同意，该事项已下放成都市、泸州市、德阳市、宜宾市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化学原料和化学制品制造业建设项目环境影响评价文件审批：年产5万吨（不含）以上钛白粉制造项目</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计算机、通信和其他电子设备制造业建设项目环境影响评价文件审批：含前工序的8英寸及以上半导体器件制造</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交通运输业、管道运输和仓储业建设项目环境影响评价文件审批：新建一类通用机场</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社会事业与服务业建设项目环境影响评价文件审批：特大型主题公园</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省级建设项目环境影响报告表审批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省级建设项目环境影响报告书审批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江河、湖泊新建、改建或者扩大排污口审批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省级入河排污口设置审批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8</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对不按规定从事、开展废旧放射源或者其他放射性固体废物的贮存、处置活动的行政处罚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9</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对未按规定对托运的放射性物品表面污染和辐射水平实施监测的；将经监测不符合国家放射性物品运输安全标准的放射性物品交付托运的；出具虚假辐射监测报告的行政处罚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10</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对未按规定建立废旧放射源收贮台账和计算机管理系统的；未按规定对已收贮的废旧放射源进行统计，并将统计结果上报的行政处罚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11</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对放射性固体废物贮存、处置单位未按规定建立情况记录档案，或者未按规定进行如实记录的行政处罚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12</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对样品检测和环境安全评价结束后，未将微生物菌剂样品全部安全销毁的行政处罚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对未妥善保存微生物菌剂生产、使用、储藏、运输和处理记录，或者未执行微生物菌剂生产、使用、储藏、运输和处理的环境安全控制措施和事故处置应急预案的行政处罚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14</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对生产超过污染物排放标准的机动车、非道路移动机械的；机动车、非道路移动机械生产企业对发动机、污染控制装置弄虚作假、以次充好，冒充排放检验合格产品出厂销售的行政处罚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成都市、宜宾市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对未按规定向社会公布其生产、进口机动车车型的排放检验信息或者污染控制技术信息的行政处罚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房地产开发企业资质核定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b/>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住房城乡建设厅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建筑施工企业主要负责人、项目负责人和专职安全生产管理人员安全生产考核</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住房城乡建设厅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泸州市、绵阳市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18</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建筑施工特种作业人员职业资格认定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住房城乡建设厅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泸州市、绵阳市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19</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房屋建筑和市政基础设施抗震设防专项审查（除超限高层建筑工程外）</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其他行政权力</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住房城乡建设厅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20</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城镇供水排水企业运行评估考核</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其他行政权力</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住房城乡建设厅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21</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公路工程交工验收备案</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高速公路工程交工验收备案（省级权限）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其他行政权力</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项目全线位于成都市域的高速公路建设项目（除100公里以上的国高网高速公路项目外）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22</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公路建设项目竣工验收</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国家重点公路建设项目竣工验收（省级权限)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项目全线位于成都市域的高速公路建设项目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地方高速公路建设项目竣工验收（省级权限）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项目全线位于成都市域的高速公路建设项目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公路建设项目施工许可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高速公路建设项目施工许可</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项目全线位于成都市域的高速公路建设项目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24</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公路建设项目设计文件审批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国家重点公路建设项目施工图设计文件审批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项目全线位于成都市域的高速公路建设项目施工图设计或按规定由交通运输厅审批的重大设计变更审批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地方高速公路建设项目设计文件审批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项目全线位于成都市域的高速公路建设项目，不包含初步设计审批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省道建设项目设计文件审批（省级权限）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项目全线位于成都市域的普通国省干线公路建设项目的许可事项的省级全部审批权限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国道建设项目设计文件审批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项目全线位于成都市域的普通国省干线公路建设项目的许可事项的省级全部审批权限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国内水路运输经营许可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省际普通货船运输、省内水路运输经营许可（省级权限）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 xml:space="preserve">泸州市、乐山市、南充市、宜宾市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水运工程建设项目竣工验收</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国家重点港口工程项目的竣工验收</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泸州市、宜宾市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通航建筑物运行方案审批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长江干线以外通航建筑物运行方案审批（省级权限）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交通运输厅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泸州市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28</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水利基建项目初步设计文件审批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同一市内，中型水利工程项目和同一市内受益（或淹没）范围未跨市（州）的其他非大型水利工程项目审批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水利厅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同一市内，受益（或淹没）范围未跨市（州）的其他非大型水利工程项目审批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水利厅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29</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种畜禽生产经营许可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生猪一级扩繁场种畜禽生产经营许可</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农业农村厅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宜宾市、达州市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30</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兽药经营许可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生物制品类兽药经营许可证核发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农业农村厅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31</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农药经营许可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限制使用农药类农药经营许可证核发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农业农村厅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 xml:space="preserve">成都市、泸州市、乐山市、达州市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限制使用农药类农药经营许可证变更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农业农村厅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 xml:space="preserve">成都市、泸州市、乐山市、达州市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限制使用农药类农药经营许可证延续</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农业农村厅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 xml:space="preserve">成都市、泸州市、乐山市、达州市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限制使用农药类农药经营许可证补发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农业农村厅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 xml:space="preserve">成都市、泸州市、乐山市、达州市  </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32</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从事拍卖业务许可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商务厅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对单用途商业预付卡集团发卡企业、品牌发卡企业对其售卡企业疏于管理的行政处罚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商务厅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34</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拍卖企业年度核查</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行政检查</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商务厅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商业特许经营备案</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仅限在本省范围内从事商业特许经营活动企业备案、跨省从事商业特许经营备案初审</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行政权力</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商务厅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自由进出口技术合同登记</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b/>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行政权力</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商务厅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37</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旅行社设立许可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经营国内旅游业务和入境旅游业务审批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旅行社业务经营许可证变更审批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旅行社业务经营许可证补证审批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旅行社业务经营许可证注销审批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38</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外商投资旅行社业务许可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外商投资旅行社业务审批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外商投资旅行社《旅行社业务经营许可证》变更审批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外商投资旅行社《旅行社业务经营许可证》补证审批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外商投资旅行社《旅行社业务经营许可证》注销审批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7"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39</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文艺表演团体设立审批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香港、澳门特别行政区投资者投资设立内地方控股的文艺表演团体审批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港资、澳资文艺表演团体营业性演出许可证延续审批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港资、澳资文艺表演团体营业性演出许可证变更审批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港资、澳资文艺表演团体营业性演出许可证补证审批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港资、澳资文艺表演团体营业性演出许可证注销审批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文化和旅游厅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40</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医疗机构执业登记</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血液透析中心、消毒供应中心执业登记</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省卫生健康委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41</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煤矿企业未建立安全培训管理制度或者未制定年度安全培训计划，或者未明确负责安全培训工作的机构，或者未配备专兼职安全培训管理人员，或者用于安全培训的资金不符合规定，或者未按照统一的培训大纲组织培训，或者不具备安全培训条件进行自主培训，或者委托不具备安全培训条件机构进行培训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应急管理厅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42</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对具备煤矿安全培训条件的机构未按照规定的培训大纲进行安全培训，或者未经安全培训并考试合格颁发有关培训合格证明的行政处罚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应急管理厅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对专利代理违规行为的行政处罚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44</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特种设备生产单位许可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特种设备制造单位许可（省级权限）首次申请</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特种设备制造单位许可（省级权限）有效期届满申请延续</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特种设备制造单位许可（省级权限）申请扩项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特种设备制造单位许可（省级权限）申请变更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特种设备制造单位许可（省级权限）延期换证</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特种设备制造单位许可（省级权限）许可证补发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特种设备制造单位许可（省级权限）制造地址注销</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特种设备设计单位许可（压力容器规则设计，长输管道、公用管道、工业管道）首次申请</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特种设备设计单位许可（压力容器规则设计，长输管道、公用管道、工业管道）有效期届满申请延续</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特种设备设计单位许可（压力容器规则设计，长输管道、公用管道、工业管道）申请扩项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特种设备设计单位许可（压力容器规则设计，长输管道、公用管道、工业管道）申请变更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特种设备制造单位许可补发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特种设备制造单位许可注销</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特种设备设计单位许可补发</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特种设备设计单位许可注销</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45</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重要工业产品生产许可（化肥）发证</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重要工业产品生产许可（化肥）延续</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重要工业产品生产许可（化肥）许可范围变更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重要工业产品生产许可（化肥）名称变更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重要工业产品生产许可（化肥）补领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重要工业产品生产许可（化肥）其他（取证方式变更）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重要工业产品生产许可（化肥）注销</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重要工业产品生产许可（食品相关产品）发证</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重要工业产品生产许可（食品相关产品）延续</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重要工业产品生产许可（食品相关产品）许可范围变更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重要工业产品生产许可（食品相关产品）名称变更</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重要工业产品生产许可（食品相关产品）补领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重要工业产品生产许可（食品相关产品）其他（取证方式变更</w:t>
            </w:r>
            <w:r>
              <w:rPr>
                <w:rStyle w:val="8"/>
                <w:rFonts w:hint="default" w:ascii="Times New Roman" w:hAnsi="Times New Roman" w:eastAsia="方正仿宋简体" w:cs="Times New Roman"/>
                <w:color w:val="auto"/>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重要工业产品生产许可（食品相关产品）注销</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省市场监管局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建设项目使用草原审批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在草原上修建直接为草原保护和畜牧业生产服务的工程设施审批（省级权限）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建设项目使用林地及在森林和野生动物类型国家级自然保护区建设审批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矿藏勘查、开采以及其他各类工程建设占用林地审核（省级权限）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48</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林木采伐许可证核发</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林木采伐许可证核发（省级权限）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49</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采集及出售、收购野生植物审批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采集国家二级保护野生植物以及甘草和麻黄草审批</w:t>
            </w:r>
          </w:p>
        </w:tc>
        <w:tc>
          <w:tcPr>
            <w:tcW w:w="10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出售、收购国家二级保护野生植物审批</w:t>
            </w: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1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19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6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50</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进入自然保护区从事有关活动审批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在森林和野生动物类型地方级自然保护区修筑设施审批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51</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猎捕陆生野生动物审批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猎捕国家二级保护陆生野生动物审批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猎捕非国家重点保护陆生野生动物审批（省级权限）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52</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出售、购买、利用国家重点保护陆生野生动物及其制品审批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出售、购买、利用国家重点保护陆生野生动物及其制品审批（省级权限）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国家重点保护陆生野生动物人工繁育许可证核发</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国家重点保护陆生野生动物人工繁育许可证核发（省级权限）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54</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森林草原防火期内在森林草原防火区爆破、勘察和施工等活动审批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森林防火期内进入森林防火区进行爆破等活动审批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省林草局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广播电视节目制作经营单位设立审批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省广电局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乡镇设立广播电视站和机关、部队、团体、企业事业单位设立有线广播电视站审批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省广电局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对擅自设置卫星地面接收设施，或者接收外国卫星传送的电视节目的单位的行政处罚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省广电局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58</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对持有许可证的单位，涂改或转让许可证，违规接收、使用或录制、传播外国卫星传送的电视节目，或者未按规定申报换发或注销许可证、备案音像资料目录和保管录制的音像资料的行政处罚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行政处罚</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省广电局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sz w:val="20"/>
                <w:szCs w:val="20"/>
                <w:u w:val="none"/>
                <w:lang w:eastAsia="zh-CN"/>
              </w:rPr>
              <w:t>许可证是指《卫星地面接收设施接收外国卫星传送的电视节目许可证》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59</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对卫星地面接收设施接收外国卫星传送的电视节目的监督检查</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行政检查</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省广电局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60</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考古发掘单位保留少量出土文物作为科研标本许可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61</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外国公民、组织和国际组织参观未开放的文物点和考古发掘现场审批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62</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文物商店设立审批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成都市、德阳市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63</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馆藏文物修复、复制、拓印许可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馆藏二、三级文物修复、复制、拓印许可</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64</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核定为文物保护单位的属于国家所有的纪念建筑物或者古建筑改变用途审批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变更市级文物保护单位用途审批（省级权限）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不可移动文物修缮审批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省级文物保护单位修缮许可</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建设工程文物保护许可</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市级文物保护单位的保护范围内进行其他建设工程或者爆破、钻探、挖掘等作业（省级权限）</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行政许可</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成都市、泸州市</w:t>
            </w:r>
            <w:r>
              <w:rPr>
                <w:rStyle w:val="9"/>
                <w:rFonts w:hint="default" w:ascii="Times New Roman" w:hAnsi="Times New Roman" w:eastAsia="方正仿宋简体" w:cs="Times New Roman"/>
                <w:color w:val="auto"/>
                <w:lang w:val="en-US" w:eastAsia="zh-CN" w:bidi="ar"/>
              </w:rPr>
              <w:t xml:space="preserve"> </w:t>
            </w:r>
            <w:r>
              <w:rPr>
                <w:rStyle w:val="10"/>
                <w:rFonts w:hint="default" w:ascii="Times New Roman" w:hAnsi="Times New Roman" w:eastAsia="方正仿宋简体" w:cs="Times New Roman"/>
                <w:color w:val="auto"/>
                <w:lang w:val="en-US" w:eastAsia="zh-CN" w:bidi="ar"/>
              </w:rPr>
              <w:t>、</w:t>
            </w:r>
            <w:r>
              <w:rPr>
                <w:rStyle w:val="9"/>
                <w:rFonts w:hint="default" w:ascii="Times New Roman" w:hAnsi="Times New Roman" w:eastAsia="方正仿宋简体" w:cs="Times New Roman"/>
                <w:color w:val="auto"/>
                <w:lang w:val="en-US" w:eastAsia="zh-CN" w:bidi="ar"/>
              </w:rPr>
              <w:t xml:space="preserve"> </w:t>
            </w:r>
            <w:r>
              <w:rPr>
                <w:rStyle w:val="10"/>
                <w:rFonts w:hint="default" w:ascii="Times New Roman" w:hAnsi="Times New Roman" w:eastAsia="方正仿宋简体" w:cs="Times New Roman"/>
                <w:color w:val="auto"/>
                <w:lang w:val="en-US" w:eastAsia="zh-CN" w:bidi="ar"/>
              </w:rPr>
              <w:t>德阳市、绵阳市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文物认定争议裁定</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行政裁决</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68</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非国有不可移动文物转让、抵押或者改变用途备案</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省级非国有不可移动文物转让、抵押或者改变用途备案</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行政权力</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省文物局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69</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对药品研制、注册、生产、经营和使用等活动的监督检查</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对药品零售企业的监督检查</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行政检查</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省药监局</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kern w:val="0"/>
                <w:sz w:val="20"/>
                <w:szCs w:val="20"/>
                <w:u w:val="none"/>
                <w:lang w:val="en-US" w:eastAsia="zh-CN" w:bidi="ar"/>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仅限连锁总部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525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黑体简体" w:cs="Times New Roman"/>
                <w:i w:val="0"/>
                <w:color w:val="auto"/>
                <w:sz w:val="28"/>
                <w:szCs w:val="28"/>
                <w:u w:val="none"/>
              </w:rPr>
            </w:pPr>
            <w:r>
              <w:rPr>
                <w:rFonts w:hint="default" w:ascii="Times New Roman" w:hAnsi="Times New Roman" w:eastAsia="方正黑体简体" w:cs="Times New Roman"/>
                <w:i w:val="0"/>
                <w:color w:val="auto"/>
                <w:kern w:val="0"/>
                <w:sz w:val="24"/>
                <w:szCs w:val="24"/>
                <w:u w:val="none"/>
                <w:lang w:val="en-US" w:eastAsia="zh-CN" w:bidi="ar"/>
              </w:rPr>
              <w:t>二、其他经济和社会职权事项（7项）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1</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编制在成都市行政区域内实施的地方环境质量、污染物排放标准</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其他经济社会职权事项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成都市承担具体工作，完成后报省政府批准发布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2</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省级农用地转用和土地征收审批权</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天府新区成都片区、成都市东部新区范围内省级农用地转用和土地征收审批权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除国务院授权和委托用地审批权的省级农用地转用和土地征收审批权外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宜宾三江新区范围内省级农用地转用和土地征收审批权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除国务院授权和委托用地审批权的省级农用地转用和土地征收审批权外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南充临江新区范围内省级农用地转用和土地征收审批权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南充市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除国务院授权和委托用地审批权的省级农用地转用和土地征收审批权外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3</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土地征收成片开发方案审批权</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天府新区成都片区、成都市东部新区范围内省级农用地和土地征收审批权对应的土地征收成片开发方案审批权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中国（绵阳）科技城范围内省级农用地和土地征收审批权对应的土地征收成片开发方案审批权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绵阳市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宜宾三江新区范围内省级农用地和土地征收审批权对应的土地征收成片开发方案审批权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南充临江新区范围内省级农用地和土地征收审批权对应的土地征收成片开发方案审批权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南充市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4</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使用挂钩指标报征审批权限</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天府新区成都片区、成都市东部新区范围内使用挂钩指标报征审批权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中国（绵阳）科技城范围内使用挂钩指标报征审批权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绵阳市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宜宾三江新区范围内使用挂钩指标报征审批权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宜宾市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center"/>
              <w:rPr>
                <w:rFonts w:hint="default" w:ascii="Times New Roman" w:hAnsi="Times New Roman" w:eastAsia="方正仿宋简体" w:cs="Times New Roman"/>
                <w:i w:val="0"/>
                <w:color w:val="auto"/>
                <w:sz w:val="20"/>
                <w:szCs w:val="20"/>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both"/>
              <w:rPr>
                <w:rFonts w:hint="default" w:ascii="Times New Roman" w:hAnsi="Times New Roman" w:eastAsia="方正仿宋简体" w:cs="Times New Roman"/>
                <w:i w:val="0"/>
                <w:color w:val="auto"/>
                <w:sz w:val="20"/>
                <w:szCs w:val="20"/>
                <w:u w:val="none"/>
              </w:rPr>
            </w:pP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南充临江新区范围内使用挂钩指标报征审批权</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政府内部审批事项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省人民政府</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南充市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5</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政府投资项目审批</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流域面积3000平方公里以上中小河流治理项目审批</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其他经济社会职权事项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省发展改革委</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6</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产业园区规划环境影响报告书审查</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产业定位涉及酿造的产业园区开发建设规划的环境影响报告书审查</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其他经济社会职权事项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4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7</w:t>
            </w:r>
          </w:p>
        </w:tc>
        <w:tc>
          <w:tcPr>
            <w:tcW w:w="28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产业园区规划环境影响跟踪评价管理</w:t>
            </w:r>
          </w:p>
        </w:tc>
        <w:tc>
          <w:tcPr>
            <w:tcW w:w="31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产业定位涉及酿造的产业园区规划环境影响跟踪评价管理</w:t>
            </w:r>
          </w:p>
        </w:tc>
        <w:tc>
          <w:tcPr>
            <w:tcW w:w="10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其他经济社会职权事项</w:t>
            </w: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生态环境厅</w:t>
            </w:r>
          </w:p>
        </w:tc>
        <w:tc>
          <w:tcPr>
            <w:tcW w:w="1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left"/>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成都市及7个区域中心城市</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center"/>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w:t>
            </w:r>
          </w:p>
        </w:tc>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c>
          <w:tcPr>
            <w:tcW w:w="2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jc w:val="left"/>
              <w:rPr>
                <w:rFonts w:hint="default" w:ascii="Times New Roman" w:hAnsi="Times New Roman" w:eastAsia="方正仿宋简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5250"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jc w:val="both"/>
              <w:textAlignment w:val="center"/>
              <w:rPr>
                <w:rFonts w:hint="default" w:ascii="Times New Roman" w:hAnsi="Times New Roman" w:eastAsia="方正仿宋简体" w:cs="Times New Roman"/>
                <w:i w:val="0"/>
                <w:color w:val="auto"/>
                <w:sz w:val="20"/>
                <w:szCs w:val="20"/>
                <w:u w:val="none"/>
              </w:rPr>
            </w:pPr>
            <w:r>
              <w:rPr>
                <w:rFonts w:hint="default" w:ascii="Times New Roman" w:hAnsi="Times New Roman" w:eastAsia="方正仿宋简体" w:cs="Times New Roman"/>
                <w:i w:val="0"/>
                <w:color w:val="auto"/>
                <w:kern w:val="0"/>
                <w:sz w:val="20"/>
                <w:szCs w:val="20"/>
                <w:u w:val="none"/>
                <w:lang w:val="en-US" w:eastAsia="zh-CN" w:bidi="ar"/>
              </w:rPr>
              <w:t>注：省级行政职权事项的调整实施包括整项调整实施和部分调整实施两种情形。其中，</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省级事项名称</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中</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赋权内容</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栏为空的，表示将该主项整项调整实施；</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赋权内容</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栏不为空的，表示将该主项的部分内容（即</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赋权内容</w:t>
            </w:r>
            <w:r>
              <w:rPr>
                <w:rStyle w:val="11"/>
                <w:rFonts w:hint="default" w:ascii="Times New Roman" w:hAnsi="Times New Roman" w:eastAsia="方正仿宋简体" w:cs="Times New Roman"/>
                <w:color w:val="auto"/>
                <w:sz w:val="20"/>
                <w:szCs w:val="20"/>
                <w:lang w:val="en-US" w:eastAsia="zh-CN" w:bidi="ar"/>
              </w:rPr>
              <w:t>”</w:t>
            </w:r>
            <w:r>
              <w:rPr>
                <w:rStyle w:val="12"/>
                <w:rFonts w:hint="default" w:ascii="Times New Roman" w:hAnsi="Times New Roman" w:eastAsia="方正仿宋简体" w:cs="Times New Roman"/>
                <w:color w:val="auto"/>
                <w:sz w:val="20"/>
                <w:szCs w:val="20"/>
                <w:lang w:val="en-US" w:eastAsia="zh-CN" w:bidi="ar"/>
              </w:rPr>
              <w:t>中明确的具体内容）调整实施。</w:t>
            </w:r>
          </w:p>
        </w:tc>
      </w:tr>
    </w:tbl>
    <w:p>
      <w:pPr>
        <w:pStyle w:val="4"/>
        <w:keepNext w:val="0"/>
        <w:keepLines w:val="0"/>
        <w:pageBreakBefore w:val="0"/>
        <w:kinsoku/>
        <w:wordWrap/>
        <w:overflowPunct/>
        <w:topLinePunct w:val="0"/>
        <w:autoSpaceDE/>
        <w:autoSpaceDN/>
        <w:bidi w:val="0"/>
        <w:adjustRightInd/>
        <w:snapToGrid/>
        <w:spacing w:after="0" w:afterLines="0" w:line="340" w:lineRule="exact"/>
        <w:ind w:left="0" w:leftChars="0" w:firstLine="0" w:firstLineChars="0"/>
        <w:jc w:val="left"/>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Pr>
        <w:pStyle w:val="4"/>
        <w:keepNext w:val="0"/>
        <w:keepLines w:val="0"/>
        <w:pageBreakBefore w:val="0"/>
        <w:widowControl w:val="0"/>
        <w:kinsoku/>
        <w:wordWrap/>
        <w:overflowPunct/>
        <w:topLinePunct w:val="0"/>
        <w:autoSpaceDE/>
        <w:autoSpaceDN/>
        <w:bidi w:val="0"/>
        <w:adjustRightInd w:val="0"/>
        <w:snapToGrid w:val="0"/>
        <w:spacing w:after="0" w:afterLines="0" w:line="340" w:lineRule="exact"/>
        <w:ind w:left="0" w:leftChars="0" w:firstLine="0" w:firstLineChars="0"/>
        <w:jc w:val="left"/>
        <w:textAlignment w:val="auto"/>
        <w:rPr>
          <w:rFonts w:hint="default" w:ascii="Times New Roman" w:hAnsi="Times New Roman" w:cs="Times New Roman"/>
          <w:color w:val="auto"/>
          <w:lang w:eastAsia="zh-CN"/>
        </w:rPr>
      </w:pPr>
    </w:p>
    <w:p/>
    <w:p>
      <w:bookmarkStart w:id="0" w:name="_GoBack"/>
      <w:bookmarkEnd w:id="0"/>
    </w:p>
    <w:sectPr>
      <w:pgSz w:w="16838" w:h="11906" w:orient="landscape"/>
      <w:pgMar w:top="1803" w:right="1440" w:bottom="1803" w:left="1440" w:header="851" w:footer="992" w:gutter="0"/>
      <w:pgNumType w:fmt="numberInDash"/>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6564A"/>
    <w:rsid w:val="06C319D2"/>
    <w:rsid w:val="06E6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Indent"/>
    <w:basedOn w:val="1"/>
    <w:next w:val="2"/>
    <w:unhideWhenUsed/>
    <w:qFormat/>
    <w:uiPriority w:val="99"/>
    <w:pPr>
      <w:spacing w:after="120" w:afterLines="0"/>
      <w:ind w:left="420" w:leftChars="200"/>
    </w:pPr>
  </w:style>
  <w:style w:type="paragraph" w:styleId="4">
    <w:name w:val="Body Text First Indent 2"/>
    <w:basedOn w:val="3"/>
    <w:next w:val="1"/>
    <w:unhideWhenUsed/>
    <w:qFormat/>
    <w:uiPriority w:val="99"/>
    <w:pPr>
      <w:ind w:firstLine="420" w:firstLineChars="2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151"/>
    <w:basedOn w:val="6"/>
    <w:qFormat/>
    <w:uiPriority w:val="0"/>
    <w:rPr>
      <w:rFonts w:hint="eastAsia" w:ascii="宋体" w:hAnsi="宋体" w:eastAsia="宋体" w:cs="宋体"/>
      <w:color w:val="000000"/>
      <w:sz w:val="21"/>
      <w:szCs w:val="21"/>
      <w:u w:val="none"/>
    </w:rPr>
  </w:style>
  <w:style w:type="character" w:customStyle="1" w:styleId="9">
    <w:name w:val="font161"/>
    <w:basedOn w:val="6"/>
    <w:qFormat/>
    <w:uiPriority w:val="0"/>
    <w:rPr>
      <w:rFonts w:hint="default" w:ascii="Times New Roman" w:hAnsi="Times New Roman" w:cs="Times New Roman"/>
      <w:color w:val="000000"/>
      <w:sz w:val="20"/>
      <w:szCs w:val="20"/>
      <w:u w:val="none"/>
    </w:rPr>
  </w:style>
  <w:style w:type="character" w:customStyle="1" w:styleId="10">
    <w:name w:val="font81"/>
    <w:basedOn w:val="6"/>
    <w:qFormat/>
    <w:uiPriority w:val="0"/>
    <w:rPr>
      <w:rFonts w:hint="eastAsia" w:ascii="方正仿宋_GBK" w:hAnsi="方正仿宋_GBK" w:eastAsia="方正仿宋_GBK" w:cs="方正仿宋_GBK"/>
      <w:color w:val="000000"/>
      <w:sz w:val="20"/>
      <w:szCs w:val="20"/>
      <w:u w:val="none"/>
    </w:rPr>
  </w:style>
  <w:style w:type="character" w:customStyle="1" w:styleId="11">
    <w:name w:val="font71"/>
    <w:basedOn w:val="6"/>
    <w:qFormat/>
    <w:uiPriority w:val="0"/>
    <w:rPr>
      <w:rFonts w:hint="default" w:ascii="Times New Roman" w:hAnsi="Times New Roman" w:cs="Times New Roman"/>
      <w:color w:val="000000"/>
      <w:sz w:val="22"/>
      <w:szCs w:val="22"/>
      <w:u w:val="none"/>
    </w:rPr>
  </w:style>
  <w:style w:type="character" w:customStyle="1" w:styleId="12">
    <w:name w:val="font141"/>
    <w:basedOn w:val="6"/>
    <w:qFormat/>
    <w:uiPriority w:val="0"/>
    <w:rPr>
      <w:rFonts w:hint="default"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2023-12-20T02:16:00Z</dcterms:created>
  <dc:creator>sfb3</dc:creator>
  <cp:lastModifiedBy>sfb3</cp:lastModifiedBy>
  <dcterms:modified xsi:type="dcterms:W3CDTF">2023-12-20T02:17:28Z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