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firstLine="640" w:firstLineChars="200"/>
        <w:rPr>
          <w:rFonts w:hint="eastAsia" w:ascii="仿宋_GB2312"/>
        </w:rPr>
      </w:pPr>
      <w:bookmarkStart w:id="0" w:name="_GoBack"/>
      <w:bookmarkEnd w:id="0"/>
    </w:p>
    <w:p>
      <w:pPr>
        <w:adjustRightInd w:val="0"/>
        <w:snapToGrid w:val="0"/>
        <w:spacing w:line="580" w:lineRule="exact"/>
        <w:jc w:val="center"/>
        <w:rPr>
          <w:rFonts w:hint="eastAsia" w:ascii="仿宋_GB2312"/>
        </w:rPr>
      </w:pPr>
      <w:r>
        <w:rPr>
          <w:rFonts w:hint="eastAsia" w:ascii="仿宋_GB2312"/>
        </w:rPr>
        <w:t>附表一</w:t>
      </w:r>
    </w:p>
    <w:tbl>
      <w:tblPr>
        <w:tblStyle w:val="3"/>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119"/>
        <w:gridCol w:w="41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noWrap/>
            <w:vAlign w:val="center"/>
          </w:tcPr>
          <w:p>
            <w:pPr>
              <w:adjustRightInd w:val="0"/>
              <w:snapToGrid w:val="0"/>
              <w:jc w:val="center"/>
              <w:rPr>
                <w:rFonts w:ascii="仿宋_GB2312" w:hAnsi="CESI仿宋-GB2312" w:cs="CESI仿宋-GB2312"/>
              </w:rPr>
            </w:pPr>
          </w:p>
        </w:tc>
        <w:tc>
          <w:tcPr>
            <w:tcW w:w="3969" w:type="dxa"/>
            <w:noWrap/>
            <w:vAlign w:val="center"/>
          </w:tcPr>
          <w:p>
            <w:pPr>
              <w:pStyle w:val="2"/>
              <w:adjustRightInd w:val="0"/>
              <w:snapToGrid w:val="0"/>
              <w:ind w:firstLine="0" w:firstLineChars="0"/>
              <w:jc w:val="center"/>
              <w:rPr>
                <w:rFonts w:ascii="黑体" w:hAnsi="黑体" w:eastAsia="黑体" w:cs="黑体"/>
                <w:szCs w:val="32"/>
              </w:rPr>
            </w:pPr>
            <w:r>
              <w:rPr>
                <w:rFonts w:hint="eastAsia" w:ascii="黑体" w:hAnsi="黑体" w:eastAsia="黑体" w:cs="黑体"/>
                <w:szCs w:val="32"/>
              </w:rPr>
              <w:t>公园绿地面积</w:t>
            </w:r>
          </w:p>
        </w:tc>
        <w:tc>
          <w:tcPr>
            <w:tcW w:w="4019" w:type="dxa"/>
            <w:noWrap/>
            <w:vAlign w:val="center"/>
          </w:tcPr>
          <w:p>
            <w:pPr>
              <w:pStyle w:val="2"/>
              <w:adjustRightInd w:val="0"/>
              <w:snapToGrid w:val="0"/>
              <w:ind w:firstLine="0" w:firstLineChars="0"/>
              <w:jc w:val="center"/>
              <w:rPr>
                <w:rFonts w:ascii="黑体" w:hAnsi="黑体" w:eastAsia="黑体" w:cs="黑体"/>
                <w:szCs w:val="32"/>
              </w:rPr>
            </w:pPr>
            <w:r>
              <w:rPr>
                <w:rFonts w:hint="eastAsia" w:ascii="黑体" w:hAnsi="黑体" w:eastAsia="黑体" w:cs="黑体"/>
                <w:szCs w:val="32"/>
              </w:rPr>
              <w:t>可开发地下空间用地面积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noWrap/>
            <w:vAlign w:val="center"/>
          </w:tcPr>
          <w:p>
            <w:pPr>
              <w:adjustRightInd w:val="0"/>
              <w:snapToGrid w:val="0"/>
              <w:jc w:val="center"/>
              <w:rPr>
                <w:rFonts w:ascii="仿宋_GB2312" w:hAnsi="CESI仿宋-GB2312" w:cs="CESI仿宋-GB2312"/>
              </w:rPr>
            </w:pPr>
            <w:r>
              <w:rPr>
                <w:rFonts w:ascii="仿宋_GB2312" w:hAnsi="CESI仿宋-GB2312" w:cs="CESI仿宋-GB2312"/>
              </w:rPr>
              <w:t>1</w:t>
            </w:r>
          </w:p>
        </w:tc>
        <w:tc>
          <w:tcPr>
            <w:tcW w:w="3969" w:type="dxa"/>
            <w:noWrap/>
            <w:vAlign w:val="center"/>
          </w:tcPr>
          <w:p>
            <w:pPr>
              <w:adjustRightInd w:val="0"/>
              <w:snapToGrid w:val="0"/>
              <w:jc w:val="center"/>
              <w:rPr>
                <w:rFonts w:ascii="仿宋_GB2312" w:hAnsi="CESI仿宋-GB2312" w:cs="CESI仿宋-GB2312"/>
              </w:rPr>
            </w:pPr>
            <w:r>
              <w:rPr>
                <w:rFonts w:ascii="仿宋_GB2312" w:hAnsi="CESI仿宋-GB2312" w:cs="CESI仿宋-GB2312"/>
              </w:rPr>
              <w:t>0.3</w:t>
            </w:r>
            <w:r>
              <w:rPr>
                <w:rFonts w:hint="eastAsia" w:ascii="仿宋_GB2312" w:hAnsi="CESI仿宋-GB2312" w:cs="CESI仿宋-GB2312"/>
              </w:rPr>
              <w:t>公顷以下</w:t>
            </w:r>
          </w:p>
        </w:tc>
        <w:tc>
          <w:tcPr>
            <w:tcW w:w="4019" w:type="dxa"/>
            <w:noWrap/>
            <w:vAlign w:val="center"/>
          </w:tcPr>
          <w:p>
            <w:pPr>
              <w:adjustRightInd w:val="0"/>
              <w:snapToGrid w:val="0"/>
              <w:rPr>
                <w:rFonts w:ascii="仿宋_GB2312" w:hAnsi="CESI仿宋-GB2312" w:cs="CESI仿宋-GB2312"/>
              </w:rPr>
            </w:pPr>
            <w:r>
              <w:rPr>
                <w:rFonts w:hint="eastAsia" w:ascii="仿宋_GB2312" w:hAnsi="CESI仿宋-GB2312" w:cs="CESI仿宋-GB2312"/>
              </w:rPr>
              <w:t>不得大于绿地总面积的</w:t>
            </w:r>
            <w:r>
              <w:rPr>
                <w:rFonts w:ascii="仿宋_GB2312" w:hAnsi="CESI仿宋-GB2312" w:cs="CESI仿宋-GB2312"/>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34" w:type="dxa"/>
            <w:noWrap/>
            <w:vAlign w:val="center"/>
          </w:tcPr>
          <w:p>
            <w:pPr>
              <w:adjustRightInd w:val="0"/>
              <w:snapToGrid w:val="0"/>
              <w:jc w:val="center"/>
              <w:rPr>
                <w:rFonts w:ascii="仿宋_GB2312" w:hAnsi="CESI仿宋-GB2312" w:cs="CESI仿宋-GB2312"/>
              </w:rPr>
            </w:pPr>
            <w:r>
              <w:rPr>
                <w:rFonts w:ascii="仿宋_GB2312" w:hAnsi="CESI仿宋-GB2312" w:cs="CESI仿宋-GB2312"/>
              </w:rPr>
              <w:t>2</w:t>
            </w:r>
          </w:p>
        </w:tc>
        <w:tc>
          <w:tcPr>
            <w:tcW w:w="3969" w:type="dxa"/>
            <w:noWrap/>
            <w:vAlign w:val="center"/>
          </w:tcPr>
          <w:p>
            <w:pPr>
              <w:adjustRightInd w:val="0"/>
              <w:snapToGrid w:val="0"/>
              <w:jc w:val="center"/>
              <w:rPr>
                <w:rFonts w:ascii="仿宋_GB2312" w:hAnsi="CESI仿宋-GB2312" w:cs="CESI仿宋-GB2312"/>
              </w:rPr>
            </w:pPr>
            <w:r>
              <w:rPr>
                <w:rFonts w:hint="eastAsia" w:ascii="仿宋_GB2312" w:hAnsi="CESI仿宋-GB2312" w:cs="CESI仿宋-GB2312"/>
              </w:rPr>
              <w:t>超过</w:t>
            </w:r>
            <w:r>
              <w:rPr>
                <w:rFonts w:ascii="仿宋_GB2312" w:hAnsi="CESI仿宋-GB2312" w:cs="CESI仿宋-GB2312"/>
              </w:rPr>
              <w:t>0.3</w:t>
            </w:r>
            <w:r>
              <w:rPr>
                <w:rFonts w:hint="eastAsia" w:ascii="仿宋_GB2312" w:hAnsi="CESI仿宋-GB2312" w:cs="CESI仿宋-GB2312"/>
              </w:rPr>
              <w:t>公顷且</w:t>
            </w:r>
            <w:r>
              <w:rPr>
                <w:rFonts w:ascii="仿宋_GB2312" w:hAnsi="CESI仿宋-GB2312" w:cs="CESI仿宋-GB2312"/>
              </w:rPr>
              <w:t>2</w:t>
            </w:r>
            <w:r>
              <w:rPr>
                <w:rFonts w:hint="eastAsia" w:ascii="仿宋_GB2312" w:hAnsi="CESI仿宋-GB2312" w:cs="CESI仿宋-GB2312"/>
              </w:rPr>
              <w:t>公顷以下</w:t>
            </w:r>
          </w:p>
        </w:tc>
        <w:tc>
          <w:tcPr>
            <w:tcW w:w="4019" w:type="dxa"/>
            <w:noWrap/>
            <w:vAlign w:val="center"/>
          </w:tcPr>
          <w:p>
            <w:pPr>
              <w:adjustRightInd w:val="0"/>
              <w:snapToGrid w:val="0"/>
              <w:rPr>
                <w:rFonts w:ascii="仿宋_GB2312" w:hAnsi="CESI仿宋-GB2312" w:cs="CESI仿宋-GB2312"/>
              </w:rPr>
            </w:pPr>
            <w:r>
              <w:rPr>
                <w:rFonts w:hint="eastAsia" w:ascii="仿宋_GB2312" w:hAnsi="CESI仿宋-GB2312" w:cs="CESI仿宋-GB2312"/>
              </w:rPr>
              <w:t>不得大于绿地总面积的</w:t>
            </w:r>
            <w:r>
              <w:rPr>
                <w:rFonts w:ascii="仿宋_GB2312" w:hAnsi="CESI仿宋-GB2312" w:cs="CESI仿宋-GB2312"/>
              </w:rPr>
              <w:t>30%</w:t>
            </w:r>
            <w:r>
              <w:rPr>
                <w:rFonts w:hint="eastAsia" w:ascii="仿宋_GB2312" w:hAnsi="CESI仿宋-GB2312" w:cs="CESI仿宋-GB2312"/>
              </w:rPr>
              <w:t>。折算面积小于</w:t>
            </w:r>
            <w:r>
              <w:rPr>
                <w:rFonts w:ascii="仿宋_GB2312" w:hAnsi="CESI仿宋-GB2312" w:cs="CESI仿宋-GB2312"/>
              </w:rPr>
              <w:t>0.15</w:t>
            </w:r>
            <w:r>
              <w:rPr>
                <w:rFonts w:hint="eastAsia" w:ascii="仿宋_GB2312" w:hAnsi="CESI仿宋-GB2312" w:cs="CESI仿宋-GB2312"/>
              </w:rPr>
              <w:t>公顷的，其上限按</w:t>
            </w:r>
            <w:r>
              <w:rPr>
                <w:rFonts w:ascii="仿宋_GB2312" w:hAnsi="CESI仿宋-GB2312" w:cs="CESI仿宋-GB2312"/>
              </w:rPr>
              <w:t>0.15</w:t>
            </w:r>
            <w:r>
              <w:rPr>
                <w:rFonts w:hint="eastAsia" w:ascii="仿宋_GB2312" w:hAnsi="CESI仿宋-GB2312" w:cs="CESI仿宋-GB2312"/>
              </w:rPr>
              <w:t>公顷计算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34" w:type="dxa"/>
            <w:noWrap/>
            <w:vAlign w:val="center"/>
          </w:tcPr>
          <w:p>
            <w:pPr>
              <w:adjustRightInd w:val="0"/>
              <w:snapToGrid w:val="0"/>
              <w:jc w:val="center"/>
              <w:rPr>
                <w:rFonts w:ascii="仿宋_GB2312" w:hAnsi="CESI仿宋-GB2312" w:cs="CESI仿宋-GB2312"/>
              </w:rPr>
            </w:pPr>
            <w:r>
              <w:rPr>
                <w:rFonts w:ascii="仿宋_GB2312" w:hAnsi="CESI仿宋-GB2312" w:cs="CESI仿宋-GB2312"/>
              </w:rPr>
              <w:t>3</w:t>
            </w:r>
          </w:p>
        </w:tc>
        <w:tc>
          <w:tcPr>
            <w:tcW w:w="3969" w:type="dxa"/>
            <w:noWrap/>
            <w:vAlign w:val="center"/>
          </w:tcPr>
          <w:p>
            <w:pPr>
              <w:adjustRightInd w:val="0"/>
              <w:snapToGrid w:val="0"/>
              <w:jc w:val="center"/>
              <w:rPr>
                <w:rFonts w:ascii="仿宋_GB2312" w:hAnsi="CESI仿宋-GB2312" w:cs="CESI仿宋-GB2312"/>
              </w:rPr>
            </w:pPr>
            <w:r>
              <w:rPr>
                <w:rFonts w:hint="eastAsia" w:ascii="仿宋_GB2312" w:hAnsi="CESI仿宋-GB2312" w:cs="CESI仿宋-GB2312"/>
              </w:rPr>
              <w:t>超过</w:t>
            </w:r>
            <w:r>
              <w:rPr>
                <w:rFonts w:ascii="仿宋_GB2312" w:hAnsi="CESI仿宋-GB2312" w:cs="CESI仿宋-GB2312"/>
              </w:rPr>
              <w:t>2</w:t>
            </w:r>
            <w:r>
              <w:rPr>
                <w:rFonts w:hint="eastAsia" w:ascii="仿宋_GB2312" w:hAnsi="CESI仿宋-GB2312" w:cs="CESI仿宋-GB2312"/>
              </w:rPr>
              <w:t>公顷且</w:t>
            </w:r>
            <w:r>
              <w:rPr>
                <w:rFonts w:ascii="仿宋_GB2312" w:hAnsi="CESI仿宋-GB2312" w:cs="CESI仿宋-GB2312"/>
              </w:rPr>
              <w:t>5</w:t>
            </w:r>
            <w:r>
              <w:rPr>
                <w:rFonts w:hint="eastAsia" w:ascii="仿宋_GB2312" w:hAnsi="CESI仿宋-GB2312" w:cs="CESI仿宋-GB2312"/>
              </w:rPr>
              <w:t>公顷以下</w:t>
            </w:r>
          </w:p>
        </w:tc>
        <w:tc>
          <w:tcPr>
            <w:tcW w:w="4019" w:type="dxa"/>
            <w:noWrap/>
            <w:vAlign w:val="center"/>
          </w:tcPr>
          <w:p>
            <w:pPr>
              <w:adjustRightInd w:val="0"/>
              <w:snapToGrid w:val="0"/>
              <w:rPr>
                <w:rFonts w:ascii="仿宋_GB2312" w:hAnsi="CESI仿宋-GB2312" w:cs="CESI仿宋-GB2312"/>
              </w:rPr>
            </w:pPr>
            <w:r>
              <w:rPr>
                <w:rFonts w:hint="eastAsia" w:ascii="仿宋_GB2312" w:hAnsi="CESI仿宋-GB2312" w:cs="CESI仿宋-GB2312"/>
              </w:rPr>
              <w:t>不得大于绿地总面积的</w:t>
            </w:r>
            <w:r>
              <w:rPr>
                <w:rFonts w:ascii="仿宋_GB2312" w:hAnsi="CESI仿宋-GB2312" w:cs="CESI仿宋-GB2312"/>
              </w:rPr>
              <w:t>25%</w:t>
            </w:r>
            <w:r>
              <w:rPr>
                <w:rFonts w:hint="eastAsia" w:ascii="仿宋_GB2312" w:hAnsi="CESI仿宋-GB2312" w:cs="CESI仿宋-GB2312"/>
              </w:rPr>
              <w:t>。折算面积小于</w:t>
            </w:r>
            <w:r>
              <w:rPr>
                <w:rFonts w:ascii="仿宋_GB2312" w:hAnsi="CESI仿宋-GB2312" w:cs="CESI仿宋-GB2312"/>
              </w:rPr>
              <w:t>0.6</w:t>
            </w:r>
            <w:r>
              <w:rPr>
                <w:rFonts w:hint="eastAsia" w:ascii="仿宋_GB2312" w:hAnsi="CESI仿宋-GB2312" w:cs="CESI仿宋-GB2312"/>
              </w:rPr>
              <w:t>公顷的，其上限按</w:t>
            </w:r>
            <w:r>
              <w:rPr>
                <w:rFonts w:ascii="仿宋_GB2312" w:hAnsi="CESI仿宋-GB2312" w:cs="CESI仿宋-GB2312"/>
              </w:rPr>
              <w:t>0.6</w:t>
            </w:r>
            <w:r>
              <w:rPr>
                <w:rFonts w:hint="eastAsia" w:ascii="仿宋_GB2312" w:hAnsi="CESI仿宋-GB2312" w:cs="CESI仿宋-GB2312"/>
              </w:rPr>
              <w:t>公顷计算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34" w:type="dxa"/>
            <w:noWrap/>
            <w:vAlign w:val="center"/>
          </w:tcPr>
          <w:p>
            <w:pPr>
              <w:adjustRightInd w:val="0"/>
              <w:snapToGrid w:val="0"/>
              <w:jc w:val="center"/>
              <w:rPr>
                <w:rFonts w:ascii="仿宋_GB2312" w:hAnsi="CESI仿宋-GB2312" w:cs="CESI仿宋-GB2312"/>
              </w:rPr>
            </w:pPr>
            <w:r>
              <w:rPr>
                <w:rFonts w:ascii="仿宋_GB2312" w:hAnsi="CESI仿宋-GB2312" w:cs="CESI仿宋-GB2312"/>
              </w:rPr>
              <w:t>4</w:t>
            </w:r>
          </w:p>
        </w:tc>
        <w:tc>
          <w:tcPr>
            <w:tcW w:w="3969" w:type="dxa"/>
            <w:noWrap/>
            <w:vAlign w:val="center"/>
          </w:tcPr>
          <w:p>
            <w:pPr>
              <w:adjustRightInd w:val="0"/>
              <w:snapToGrid w:val="0"/>
              <w:jc w:val="center"/>
              <w:rPr>
                <w:rFonts w:ascii="仿宋_GB2312" w:hAnsi="CESI仿宋-GB2312" w:cs="CESI仿宋-GB2312"/>
              </w:rPr>
            </w:pPr>
            <w:r>
              <w:rPr>
                <w:rFonts w:hint="eastAsia" w:ascii="仿宋_GB2312" w:hAnsi="CESI仿宋-GB2312" w:cs="CESI仿宋-GB2312"/>
              </w:rPr>
              <w:t>超过</w:t>
            </w:r>
            <w:r>
              <w:rPr>
                <w:rFonts w:ascii="仿宋_GB2312" w:hAnsi="CESI仿宋-GB2312" w:cs="CESI仿宋-GB2312"/>
              </w:rPr>
              <w:t>5</w:t>
            </w:r>
            <w:r>
              <w:rPr>
                <w:rFonts w:hint="eastAsia" w:ascii="仿宋_GB2312" w:hAnsi="CESI仿宋-GB2312" w:cs="CESI仿宋-GB2312"/>
              </w:rPr>
              <w:t>公顷</w:t>
            </w:r>
          </w:p>
        </w:tc>
        <w:tc>
          <w:tcPr>
            <w:tcW w:w="4019" w:type="dxa"/>
            <w:noWrap/>
            <w:vAlign w:val="center"/>
          </w:tcPr>
          <w:p>
            <w:pPr>
              <w:adjustRightInd w:val="0"/>
              <w:snapToGrid w:val="0"/>
              <w:rPr>
                <w:rFonts w:ascii="仿宋_GB2312" w:hAnsi="CESI仿宋-GB2312" w:cs="CESI仿宋-GB2312"/>
              </w:rPr>
            </w:pPr>
            <w:r>
              <w:rPr>
                <w:rFonts w:hint="eastAsia" w:ascii="仿宋_GB2312" w:hAnsi="CESI仿宋-GB2312" w:cs="CESI仿宋-GB2312"/>
              </w:rPr>
              <w:t>不得大于绿地总面积的</w:t>
            </w:r>
            <w:r>
              <w:rPr>
                <w:rFonts w:ascii="仿宋_GB2312" w:hAnsi="CESI仿宋-GB2312" w:cs="CESI仿宋-GB2312"/>
              </w:rPr>
              <w:t>15%</w:t>
            </w:r>
            <w:r>
              <w:rPr>
                <w:rFonts w:hint="eastAsia" w:ascii="仿宋_GB2312" w:hAnsi="CESI仿宋-GB2312" w:cs="CESI仿宋-GB2312"/>
              </w:rPr>
              <w:t>。折算面积小于</w:t>
            </w:r>
            <w:r>
              <w:rPr>
                <w:rFonts w:ascii="仿宋_GB2312" w:hAnsi="CESI仿宋-GB2312" w:cs="CESI仿宋-GB2312"/>
              </w:rPr>
              <w:t>1.25</w:t>
            </w:r>
            <w:r>
              <w:rPr>
                <w:rFonts w:hint="eastAsia" w:ascii="仿宋_GB2312" w:hAnsi="CESI仿宋-GB2312" w:cs="CESI仿宋-GB2312"/>
              </w:rPr>
              <w:t>公顷的，其上限按</w:t>
            </w:r>
            <w:r>
              <w:rPr>
                <w:rFonts w:ascii="仿宋_GB2312" w:hAnsi="CESI仿宋-GB2312" w:cs="CESI仿宋-GB2312"/>
              </w:rPr>
              <w:t>1.25</w:t>
            </w:r>
            <w:r>
              <w:rPr>
                <w:rFonts w:hint="eastAsia" w:ascii="仿宋_GB2312" w:hAnsi="CESI仿宋-GB2312" w:cs="CESI仿宋-GB2312"/>
              </w:rPr>
              <w:t>公顷计算</w:t>
            </w:r>
          </w:p>
        </w:tc>
      </w:tr>
    </w:tbl>
    <w:p>
      <w:pPr>
        <w:adjustRightInd w:val="0"/>
        <w:snapToGrid w:val="0"/>
        <w:spacing w:line="580" w:lineRule="exact"/>
        <w:ind w:firstLine="640" w:firstLineChars="200"/>
        <w:rPr>
          <w:rFonts w:hint="eastAsia" w:ascii="仿宋_GB2312"/>
        </w:rPr>
      </w:pPr>
      <w:r>
        <w:rPr>
          <w:rFonts w:hint="eastAsia" w:ascii="仿宋_GB2312"/>
        </w:rPr>
        <w:t>（注1：公园绿地的面积规模以批准的控制性详细规划确定的独立地块面积为准，不得拆分计算。</w:t>
      </w:r>
    </w:p>
    <w:p>
      <w:pPr>
        <w:adjustRightInd w:val="0"/>
        <w:snapToGrid w:val="0"/>
        <w:spacing w:line="580" w:lineRule="exact"/>
        <w:ind w:firstLine="640" w:firstLineChars="200"/>
      </w:pPr>
      <w:r>
        <w:rPr>
          <w:rFonts w:hint="eastAsia" w:ascii="仿宋_GB2312"/>
        </w:rPr>
        <w:t>注2：绿化种植的地下空间顶板结构应当满足荷载要求，并合理处理与地块周边道路或者自然地坪的竖向标高关系。地下空间顶板上应当建设排水系统，种植土层厚度不得小于1.5米，土壤应当能够满足植物健康生长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NDRiNWYxMDFiOTQyODI0OWNhNWYxM2ZmNmI5ZWEifQ=="/>
  </w:docVars>
  <w:rsids>
    <w:rsidRoot w:val="2FD5497D"/>
    <w:rsid w:val="2FD5497D"/>
    <w:rsid w:val="5C4A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2023-12-27T12:43:00Z</dcterms:created>
  <dc:creator>Snail  walk(慢节奏)</dc:creator>
  <cp:lastModifiedBy>Snail  walk(慢节奏)</cp:lastModifiedBy>
  <dcterms:modified xsi:type="dcterms:W3CDTF">2023-12-27T12:43:38Z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936C7FABC7964835ABF9B103929DEFBC_11</vt:lpwstr>
  </property>
</Properties>
</file>