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仿宋_GB2312"/>
        </w:rPr>
      </w:pPr>
      <w:bookmarkStart w:id="0" w:name="_GoBack"/>
      <w:bookmarkEnd w:id="0"/>
      <w:r>
        <w:rPr>
          <w:rFonts w:hint="eastAsia" w:ascii="仿宋_GB2312"/>
        </w:rPr>
        <w:t>附表二</w:t>
      </w:r>
    </w:p>
    <w:tbl>
      <w:tblPr>
        <w:tblStyle w:val="3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5048"/>
        <w:gridCol w:w="29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noWrap/>
            <w:vAlign w:val="top"/>
          </w:tcPr>
          <w:p>
            <w:pPr>
              <w:pStyle w:val="2"/>
              <w:adjustRightInd w:val="0"/>
              <w:snapToGrid w:val="0"/>
              <w:ind w:firstLine="0" w:firstLineChars="0"/>
              <w:rPr>
                <w:rFonts w:ascii="仿宋_GB2312" w:hAnsi="CESI仿宋-GB2312" w:cs="CESI仿宋-GB2312"/>
                <w:szCs w:val="32"/>
              </w:rPr>
            </w:pPr>
          </w:p>
        </w:tc>
        <w:tc>
          <w:tcPr>
            <w:tcW w:w="4864" w:type="dxa"/>
            <w:noWrap/>
            <w:vAlign w:val="top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地下设施顶面绿化条件</w:t>
            </w:r>
          </w:p>
        </w:tc>
        <w:tc>
          <w:tcPr>
            <w:tcW w:w="2841" w:type="dxa"/>
            <w:noWrap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绿地面积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rPr>
                <w:rFonts w:ascii="仿宋_GB2312" w:hAnsi="CESI仿宋-GB2312" w:cs="CESI仿宋-GB2312"/>
                <w:szCs w:val="32"/>
              </w:rPr>
            </w:pPr>
            <w:r>
              <w:rPr>
                <w:rFonts w:ascii="仿宋_GB2312" w:hAnsi="CESI仿宋-GB2312" w:cs="CESI仿宋-GB2312"/>
                <w:szCs w:val="32"/>
              </w:rPr>
              <w:t>1</w:t>
            </w:r>
          </w:p>
        </w:tc>
        <w:tc>
          <w:tcPr>
            <w:tcW w:w="4864" w:type="dxa"/>
            <w:noWrap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rPr>
                <w:rFonts w:ascii="仿宋_GB2312" w:hAnsi="CESI仿宋-GB2312" w:cs="CESI仿宋-GB2312"/>
                <w:szCs w:val="32"/>
              </w:rPr>
            </w:pPr>
            <w:r>
              <w:rPr>
                <w:rFonts w:hint="eastAsia" w:ascii="仿宋_GB2312" w:hAnsi="CESI仿宋-GB2312" w:cs="CESI仿宋-GB2312"/>
                <w:szCs w:val="32"/>
              </w:rPr>
              <w:t>地下设施顶板低于室外地坪</w:t>
            </w:r>
            <w:r>
              <w:rPr>
                <w:rFonts w:ascii="仿宋_GB2312" w:hAnsi="CESI仿宋-GB2312" w:cs="CESI仿宋-GB2312"/>
                <w:szCs w:val="32"/>
              </w:rPr>
              <w:t>1</w:t>
            </w:r>
            <w:r>
              <w:rPr>
                <w:rFonts w:hint="eastAsia" w:ascii="仿宋_GB2312" w:hAnsi="CESI仿宋-GB2312" w:cs="CESI仿宋-GB2312"/>
                <w:szCs w:val="32"/>
              </w:rPr>
              <w:t>米以上，且绿化覆土厚度</w:t>
            </w:r>
            <w:r>
              <w:rPr>
                <w:rFonts w:ascii="仿宋_GB2312" w:hAnsi="CESI仿宋-GB2312" w:cs="CESI仿宋-GB2312"/>
                <w:szCs w:val="32"/>
              </w:rPr>
              <w:t>1.5</w:t>
            </w:r>
            <w:r>
              <w:rPr>
                <w:rFonts w:hint="eastAsia" w:ascii="仿宋_GB2312" w:hAnsi="CESI仿宋-GB2312" w:cs="CESI仿宋-GB2312"/>
                <w:szCs w:val="32"/>
              </w:rPr>
              <w:t>米以上</w:t>
            </w:r>
          </w:p>
        </w:tc>
        <w:tc>
          <w:tcPr>
            <w:tcW w:w="2841" w:type="dxa"/>
            <w:noWrap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_GB2312" w:hAnsi="CESI仿宋-GB2312" w:cs="CESI仿宋-GB2312"/>
                <w:szCs w:val="32"/>
              </w:rPr>
            </w:pPr>
            <w:r>
              <w:rPr>
                <w:rFonts w:hint="eastAsia" w:ascii="仿宋_GB2312" w:hAnsi="CESI仿宋-GB2312" w:cs="CESI仿宋-GB2312"/>
                <w:szCs w:val="32"/>
              </w:rPr>
              <w:t>按</w:t>
            </w:r>
            <w:r>
              <w:rPr>
                <w:rFonts w:ascii="仿宋_GB2312" w:hAnsi="CESI仿宋-GB2312" w:cs="CESI仿宋-GB2312"/>
                <w:szCs w:val="32"/>
              </w:rPr>
              <w:t>100%</w:t>
            </w:r>
            <w:r>
              <w:rPr>
                <w:rFonts w:hint="eastAsia" w:ascii="仿宋_GB2312" w:hAnsi="CESI仿宋-GB2312" w:cs="CESI仿宋-GB2312"/>
                <w:szCs w:val="32"/>
              </w:rPr>
              <w:t>折算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rPr>
                <w:rFonts w:ascii="仿宋_GB2312" w:hAnsi="CESI仿宋-GB2312" w:cs="CESI仿宋-GB2312"/>
                <w:szCs w:val="32"/>
              </w:rPr>
            </w:pPr>
            <w:r>
              <w:rPr>
                <w:rFonts w:ascii="仿宋_GB2312" w:hAnsi="CESI仿宋-GB2312" w:cs="CESI仿宋-GB2312"/>
                <w:szCs w:val="32"/>
              </w:rPr>
              <w:t>2</w:t>
            </w:r>
          </w:p>
        </w:tc>
        <w:tc>
          <w:tcPr>
            <w:tcW w:w="4864" w:type="dxa"/>
            <w:noWrap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rPr>
                <w:rFonts w:ascii="仿宋_GB2312" w:hAnsi="CESI仿宋-GB2312" w:cs="CESI仿宋-GB2312"/>
                <w:szCs w:val="32"/>
              </w:rPr>
            </w:pPr>
            <w:r>
              <w:rPr>
                <w:rFonts w:hint="eastAsia" w:ascii="仿宋_GB2312" w:hAnsi="CESI仿宋-GB2312" w:cs="CESI仿宋-GB2312"/>
                <w:szCs w:val="32"/>
              </w:rPr>
              <w:t>地下设施顶板低于室外地坪</w:t>
            </w:r>
            <w:r>
              <w:rPr>
                <w:rFonts w:ascii="仿宋_GB2312" w:hAnsi="CESI仿宋-GB2312" w:cs="CESI仿宋-GB2312"/>
                <w:szCs w:val="32"/>
              </w:rPr>
              <w:t>1</w:t>
            </w:r>
            <w:r>
              <w:rPr>
                <w:rFonts w:hint="eastAsia" w:ascii="仿宋_GB2312" w:hAnsi="CESI仿宋-GB2312" w:cs="CESI仿宋-GB2312"/>
                <w:szCs w:val="32"/>
              </w:rPr>
              <w:t>米以上，且绿化覆土厚度</w:t>
            </w:r>
            <w:r>
              <w:rPr>
                <w:rFonts w:ascii="仿宋_GB2312" w:hAnsi="CESI仿宋-GB2312" w:cs="CESI仿宋-GB2312"/>
                <w:szCs w:val="32"/>
              </w:rPr>
              <w:t>1.0</w:t>
            </w:r>
            <w:r>
              <w:rPr>
                <w:rFonts w:hint="eastAsia" w:ascii="仿宋_GB2312" w:hAnsi="CESI仿宋-GB2312" w:cs="CESI仿宋-GB2312"/>
                <w:szCs w:val="32"/>
              </w:rPr>
              <w:t>米以上不足</w:t>
            </w:r>
            <w:r>
              <w:rPr>
                <w:rFonts w:ascii="仿宋_GB2312" w:hAnsi="CESI仿宋-GB2312" w:cs="CESI仿宋-GB2312"/>
                <w:szCs w:val="32"/>
              </w:rPr>
              <w:t>1.5</w:t>
            </w:r>
            <w:r>
              <w:rPr>
                <w:rFonts w:hint="eastAsia" w:ascii="仿宋_GB2312" w:hAnsi="CESI仿宋-GB2312" w:cs="CESI仿宋-GB2312"/>
                <w:szCs w:val="32"/>
              </w:rPr>
              <w:t>米</w:t>
            </w:r>
          </w:p>
        </w:tc>
        <w:tc>
          <w:tcPr>
            <w:tcW w:w="2841" w:type="dxa"/>
            <w:noWrap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_GB2312" w:hAnsi="CESI仿宋-GB2312" w:cs="CESI仿宋-GB2312"/>
                <w:szCs w:val="32"/>
              </w:rPr>
            </w:pPr>
            <w:r>
              <w:rPr>
                <w:rFonts w:hint="eastAsia" w:ascii="仿宋_GB2312" w:hAnsi="CESI仿宋-GB2312" w:cs="CESI仿宋-GB2312"/>
                <w:szCs w:val="32"/>
              </w:rPr>
              <w:t>按</w:t>
            </w:r>
            <w:r>
              <w:rPr>
                <w:rFonts w:ascii="仿宋_GB2312" w:hAnsi="CESI仿宋-GB2312" w:cs="CESI仿宋-GB2312"/>
                <w:szCs w:val="32"/>
              </w:rPr>
              <w:t>80%</w:t>
            </w:r>
            <w:r>
              <w:rPr>
                <w:rFonts w:hint="eastAsia" w:ascii="仿宋_GB2312" w:hAnsi="CESI仿宋-GB2312" w:cs="CESI仿宋-GB2312"/>
                <w:szCs w:val="32"/>
              </w:rPr>
              <w:t>折算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rPr>
                <w:rFonts w:ascii="仿宋_GB2312" w:hAnsi="CESI仿宋-GB2312" w:cs="CESI仿宋-GB2312"/>
                <w:szCs w:val="32"/>
              </w:rPr>
            </w:pPr>
            <w:r>
              <w:rPr>
                <w:rFonts w:ascii="仿宋_GB2312" w:hAnsi="CESI仿宋-GB2312" w:cs="CESI仿宋-GB2312"/>
                <w:szCs w:val="32"/>
              </w:rPr>
              <w:t>3</w:t>
            </w:r>
          </w:p>
        </w:tc>
        <w:tc>
          <w:tcPr>
            <w:tcW w:w="4864" w:type="dxa"/>
            <w:noWrap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rPr>
                <w:rFonts w:ascii="仿宋_GB2312" w:hAnsi="CESI仿宋-GB2312" w:cs="CESI仿宋-GB2312"/>
                <w:szCs w:val="32"/>
              </w:rPr>
            </w:pPr>
            <w:r>
              <w:rPr>
                <w:rFonts w:hint="eastAsia" w:ascii="仿宋_GB2312" w:hAnsi="CESI仿宋-GB2312" w:cs="CESI仿宋-GB2312"/>
                <w:szCs w:val="32"/>
              </w:rPr>
              <w:t>地下设施顶板低于室外地坪</w:t>
            </w:r>
            <w:r>
              <w:rPr>
                <w:rFonts w:ascii="仿宋_GB2312" w:hAnsi="CESI仿宋-GB2312" w:cs="CESI仿宋-GB2312"/>
                <w:szCs w:val="32"/>
              </w:rPr>
              <w:t>0.6</w:t>
            </w:r>
            <w:r>
              <w:rPr>
                <w:rFonts w:hint="eastAsia" w:ascii="仿宋_GB2312" w:hAnsi="CESI仿宋-GB2312" w:cs="CESI仿宋-GB2312"/>
                <w:szCs w:val="32"/>
              </w:rPr>
              <w:t>米以上不足</w:t>
            </w:r>
            <w:r>
              <w:rPr>
                <w:rFonts w:ascii="仿宋_GB2312" w:hAnsi="CESI仿宋-GB2312" w:cs="CESI仿宋-GB2312"/>
                <w:szCs w:val="32"/>
              </w:rPr>
              <w:t>1</w:t>
            </w:r>
            <w:r>
              <w:rPr>
                <w:rFonts w:hint="eastAsia" w:ascii="仿宋_GB2312" w:hAnsi="CESI仿宋-GB2312" w:cs="CESI仿宋-GB2312"/>
                <w:szCs w:val="32"/>
              </w:rPr>
              <w:t>米，且绿化覆土厚度</w:t>
            </w:r>
            <w:r>
              <w:rPr>
                <w:rFonts w:ascii="仿宋_GB2312" w:hAnsi="CESI仿宋-GB2312" w:cs="CESI仿宋-GB2312"/>
                <w:szCs w:val="32"/>
              </w:rPr>
              <w:t>0.6</w:t>
            </w:r>
            <w:r>
              <w:rPr>
                <w:rFonts w:hint="eastAsia" w:ascii="仿宋_GB2312" w:hAnsi="CESI仿宋-GB2312" w:cs="CESI仿宋-GB2312"/>
                <w:szCs w:val="32"/>
              </w:rPr>
              <w:t>米以上</w:t>
            </w:r>
          </w:p>
        </w:tc>
        <w:tc>
          <w:tcPr>
            <w:tcW w:w="2841" w:type="dxa"/>
            <w:noWrap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_GB2312" w:hAnsi="CESI仿宋-GB2312" w:cs="CESI仿宋-GB2312"/>
                <w:szCs w:val="32"/>
              </w:rPr>
            </w:pPr>
            <w:r>
              <w:rPr>
                <w:rFonts w:hint="eastAsia" w:ascii="仿宋_GB2312" w:hAnsi="CESI仿宋-GB2312" w:cs="CESI仿宋-GB2312"/>
                <w:szCs w:val="32"/>
              </w:rPr>
              <w:t>按</w:t>
            </w:r>
            <w:r>
              <w:rPr>
                <w:rFonts w:ascii="仿宋_GB2312" w:hAnsi="CESI仿宋-GB2312" w:cs="CESI仿宋-GB2312"/>
                <w:szCs w:val="32"/>
              </w:rPr>
              <w:t>60%</w:t>
            </w:r>
            <w:r>
              <w:rPr>
                <w:rFonts w:hint="eastAsia" w:ascii="仿宋_GB2312" w:hAnsi="CESI仿宋-GB2312" w:cs="CESI仿宋-GB2312"/>
                <w:szCs w:val="32"/>
              </w:rPr>
              <w:t>折算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rPr>
                <w:rFonts w:ascii="仿宋_GB2312" w:hAnsi="CESI仿宋-GB2312" w:cs="CESI仿宋-GB2312"/>
                <w:szCs w:val="32"/>
              </w:rPr>
            </w:pPr>
            <w:r>
              <w:rPr>
                <w:rFonts w:ascii="仿宋_GB2312" w:hAnsi="CESI仿宋-GB2312" w:cs="CESI仿宋-GB2312"/>
                <w:szCs w:val="32"/>
              </w:rPr>
              <w:t>4</w:t>
            </w:r>
          </w:p>
        </w:tc>
        <w:tc>
          <w:tcPr>
            <w:tcW w:w="4864" w:type="dxa"/>
            <w:noWrap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rPr>
                <w:rFonts w:ascii="仿宋_GB2312" w:hAnsi="CESI仿宋-GB2312" w:cs="CESI仿宋-GB2312"/>
                <w:szCs w:val="32"/>
              </w:rPr>
            </w:pPr>
            <w:r>
              <w:rPr>
                <w:rFonts w:hint="eastAsia" w:ascii="仿宋_GB2312" w:hAnsi="CESI仿宋-GB2312" w:cs="CESI仿宋-GB2312"/>
                <w:szCs w:val="32"/>
              </w:rPr>
              <w:t>地下设施顶板低于室外地坪</w:t>
            </w:r>
            <w:r>
              <w:rPr>
                <w:rFonts w:ascii="仿宋_GB2312" w:hAnsi="CESI仿宋-GB2312" w:cs="CESI仿宋-GB2312"/>
                <w:szCs w:val="32"/>
              </w:rPr>
              <w:t>0.3</w:t>
            </w:r>
            <w:r>
              <w:rPr>
                <w:rFonts w:hint="eastAsia" w:ascii="仿宋_GB2312" w:hAnsi="CESI仿宋-GB2312" w:cs="CESI仿宋-GB2312"/>
                <w:szCs w:val="32"/>
              </w:rPr>
              <w:t>米以上不足</w:t>
            </w:r>
            <w:r>
              <w:rPr>
                <w:rFonts w:ascii="仿宋_GB2312" w:hAnsi="CESI仿宋-GB2312" w:cs="CESI仿宋-GB2312"/>
                <w:szCs w:val="32"/>
              </w:rPr>
              <w:t>0.6</w:t>
            </w:r>
            <w:r>
              <w:rPr>
                <w:rFonts w:hint="eastAsia" w:ascii="仿宋_GB2312" w:hAnsi="CESI仿宋-GB2312" w:cs="CESI仿宋-GB2312"/>
                <w:szCs w:val="32"/>
              </w:rPr>
              <w:t>米，且绿化覆土厚度</w:t>
            </w:r>
            <w:r>
              <w:rPr>
                <w:rFonts w:ascii="仿宋_GB2312" w:hAnsi="CESI仿宋-GB2312" w:cs="CESI仿宋-GB2312"/>
                <w:szCs w:val="32"/>
              </w:rPr>
              <w:t>0.3</w:t>
            </w:r>
            <w:r>
              <w:rPr>
                <w:rFonts w:hint="eastAsia" w:ascii="仿宋_GB2312" w:hAnsi="CESI仿宋-GB2312" w:cs="CESI仿宋-GB2312"/>
                <w:szCs w:val="32"/>
              </w:rPr>
              <w:t>米以上</w:t>
            </w:r>
          </w:p>
        </w:tc>
        <w:tc>
          <w:tcPr>
            <w:tcW w:w="2841" w:type="dxa"/>
            <w:noWrap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_GB2312" w:hAnsi="CESI仿宋-GB2312" w:cs="CESI仿宋-GB2312"/>
                <w:szCs w:val="32"/>
              </w:rPr>
            </w:pPr>
            <w:r>
              <w:rPr>
                <w:rFonts w:hint="eastAsia" w:ascii="仿宋_GB2312" w:hAnsi="CESI仿宋-GB2312" w:cs="CESI仿宋-GB2312"/>
                <w:szCs w:val="32"/>
              </w:rPr>
              <w:t>按</w:t>
            </w:r>
            <w:r>
              <w:rPr>
                <w:rFonts w:ascii="仿宋_GB2312" w:hAnsi="CESI仿宋-GB2312" w:cs="CESI仿宋-GB2312"/>
                <w:szCs w:val="32"/>
              </w:rPr>
              <w:t>40%</w:t>
            </w:r>
            <w:r>
              <w:rPr>
                <w:rFonts w:hint="eastAsia" w:ascii="仿宋_GB2312" w:hAnsi="CESI仿宋-GB2312" w:cs="CESI仿宋-GB2312"/>
                <w:szCs w:val="32"/>
              </w:rPr>
              <w:t>折算</w:t>
            </w:r>
          </w:p>
        </w:tc>
      </w:tr>
    </w:tbl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（注：地下设施顶面绿化不符合上述条件的，不折算绿地面积。）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RiNWYxMDFiOTQyODI0OWNhNWYxM2ZmNmI5ZWEifQ=="/>
  </w:docVars>
  <w:rsids>
    <w:rsidRoot w:val="63BC4FBD"/>
    <w:rsid w:val="5C4A6710"/>
    <w:rsid w:val="63BC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2023-12-27T12:42:00Z</dcterms:created>
  <dc:creator>Snail  walk(慢节奏)</dc:creator>
  <cp:lastModifiedBy>Snail  walk(慢节奏)</cp:lastModifiedBy>
  <dcterms:modified xsi:type="dcterms:W3CDTF">2023-12-27T12:43:01Z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F315497AA3BC497895E4A1C8B9B81D85_11</vt:lpwstr>
  </property>
</Properties>
</file>