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27280">
      <w:pPr>
        <w:pStyle w:val="6"/>
        <w:spacing w:line="600" w:lineRule="exact"/>
        <w:jc w:val="both"/>
      </w:pPr>
      <w:r>
        <w:rPr>
          <w:rFonts w:ascii="黑体" w:hAnsi="黑体" w:eastAsia="黑体" w:cs="黑体"/>
          <w:sz w:val="32"/>
          <w:szCs w:val="32"/>
        </w:rPr>
        <w:t>附</w:t>
      </w:r>
      <w:r>
        <w:rPr>
          <w:rFonts w:hint="eastAsia" w:ascii="黑体" w:hAnsi="黑体" w:eastAsia="黑体" w:cs="黑体"/>
          <w:sz w:val="32"/>
          <w:szCs w:val="32"/>
          <w:lang w:val="en-US" w:eastAsia="zh-CN"/>
        </w:rPr>
        <w:t xml:space="preserve"> </w:t>
      </w:r>
      <w:r>
        <w:rPr>
          <w:rFonts w:ascii="黑体" w:hAnsi="黑体" w:eastAsia="黑体" w:cs="黑体"/>
          <w:sz w:val="32"/>
          <w:szCs w:val="32"/>
        </w:rPr>
        <w:t>件</w:t>
      </w:r>
    </w:p>
    <w:p w14:paraId="5491102F">
      <w:pPr>
        <w:pStyle w:val="7"/>
        <w:widowControl w:val="0"/>
        <w:spacing w:before="0" w:beforeAutospacing="0" w:after="0" w:afterAutospacing="0" w:line="400" w:lineRule="exact"/>
        <w:jc w:val="center"/>
        <w:rPr>
          <w:rFonts w:hint="eastAsia" w:ascii="Times New Roman" w:hAnsi="Times New Roman" w:eastAsia="方正小标宋简体" w:cs="Times New Roman"/>
          <w:bCs/>
          <w:kern w:val="2"/>
          <w:sz w:val="44"/>
          <w:szCs w:val="44"/>
        </w:rPr>
      </w:pPr>
    </w:p>
    <w:p w14:paraId="15F85FF6">
      <w:pPr>
        <w:pStyle w:val="7"/>
        <w:widowControl w:val="0"/>
        <w:spacing w:before="0" w:beforeAutospacing="0" w:after="0" w:afterAutospacing="0" w:line="700" w:lineRule="exact"/>
        <w:jc w:val="center"/>
        <w:rPr>
          <w:rFonts w:hint="eastAsia" w:ascii="方正小标宋_GBK" w:hAnsi="方正小标宋_GBK" w:eastAsia="方正小标宋_GBK" w:cs="方正小标宋_GBK"/>
          <w:bCs/>
          <w:kern w:val="2"/>
          <w:sz w:val="44"/>
          <w:szCs w:val="44"/>
        </w:rPr>
      </w:pPr>
      <w:bookmarkStart w:id="0" w:name="_GoBack"/>
      <w:r>
        <w:rPr>
          <w:rFonts w:hint="eastAsia" w:ascii="方正小标宋_GBK" w:hAnsi="方正小标宋_GBK" w:eastAsia="方正小标宋_GBK" w:cs="方正小标宋_GBK"/>
          <w:bCs/>
          <w:kern w:val="2"/>
          <w:sz w:val="44"/>
          <w:szCs w:val="44"/>
        </w:rPr>
        <w:t>广东省人民政府决定调整由深圳市实施的</w:t>
      </w:r>
    </w:p>
    <w:p w14:paraId="75B2988F">
      <w:pPr>
        <w:pStyle w:val="7"/>
        <w:widowControl w:val="0"/>
        <w:spacing w:before="0" w:beforeAutospacing="0" w:after="0" w:afterAutospacing="0" w:line="700" w:lineRule="exact"/>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rPr>
        <w:t>省级行政职权目录（委托类）</w:t>
      </w:r>
    </w:p>
    <w:bookmarkEnd w:id="0"/>
    <w:p w14:paraId="09296C0E">
      <w:pPr>
        <w:pStyle w:val="7"/>
        <w:widowControl w:val="0"/>
        <w:spacing w:before="0" w:beforeAutospacing="0" w:after="0" w:afterAutospacing="0" w:line="700" w:lineRule="exact"/>
        <w:jc w:val="center"/>
        <w:rPr>
          <w:rFonts w:hint="eastAsia" w:ascii="Times New Roman" w:hAnsi="Times New Roman" w:eastAsia="方正小标宋简体" w:cs="Times New Roman"/>
          <w:bCs/>
          <w:kern w:val="2"/>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415"/>
        <w:gridCol w:w="804"/>
        <w:gridCol w:w="1462"/>
        <w:gridCol w:w="1590"/>
        <w:gridCol w:w="1961"/>
      </w:tblGrid>
      <w:tr w14:paraId="1392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823" w:type="dxa"/>
            <w:noWrap w:val="0"/>
            <w:vAlign w:val="center"/>
          </w:tcPr>
          <w:p w14:paraId="6C7779D6">
            <w:pPr>
              <w:spacing w:line="360" w:lineRule="exact"/>
              <w:jc w:val="center"/>
              <w:rPr>
                <w:rFonts w:ascii="Times New Roman" w:hAnsi="Times New Roman" w:eastAsia="黑体"/>
                <w:color w:val="000000"/>
                <w:kern w:val="21"/>
                <w:sz w:val="28"/>
                <w:szCs w:val="28"/>
                <w:lang w:eastAsia="en-US"/>
              </w:rPr>
            </w:pPr>
            <w:r>
              <w:rPr>
                <w:rFonts w:ascii="Times New Roman" w:hAnsi="Times New Roman" w:eastAsia="黑体"/>
                <w:color w:val="000000"/>
                <w:kern w:val="21"/>
                <w:sz w:val="28"/>
                <w:szCs w:val="28"/>
              </w:rPr>
              <w:t>序号</w:t>
            </w:r>
          </w:p>
        </w:tc>
        <w:tc>
          <w:tcPr>
            <w:tcW w:w="3415" w:type="dxa"/>
            <w:noWrap w:val="0"/>
            <w:vAlign w:val="center"/>
          </w:tcPr>
          <w:p w14:paraId="09F95278">
            <w:pPr>
              <w:kinsoku w:val="0"/>
              <w:adjustRightInd w:val="0"/>
              <w:snapToGrid w:val="0"/>
              <w:spacing w:line="360" w:lineRule="exact"/>
              <w:jc w:val="center"/>
              <w:rPr>
                <w:rFonts w:ascii="Times New Roman" w:hAnsi="Times New Roman" w:eastAsia="黑体"/>
                <w:color w:val="000000"/>
                <w:kern w:val="21"/>
                <w:sz w:val="28"/>
                <w:szCs w:val="28"/>
                <w:lang w:bidi="ar"/>
              </w:rPr>
            </w:pPr>
            <w:r>
              <w:rPr>
                <w:rFonts w:ascii="Times New Roman" w:hAnsi="Times New Roman" w:eastAsia="黑体"/>
                <w:color w:val="000000"/>
                <w:kern w:val="21"/>
                <w:sz w:val="28"/>
                <w:szCs w:val="28"/>
                <w:lang w:bidi="ar"/>
              </w:rPr>
              <w:t>省级行政职权名称</w:t>
            </w:r>
          </w:p>
        </w:tc>
        <w:tc>
          <w:tcPr>
            <w:tcW w:w="804" w:type="dxa"/>
            <w:noWrap w:val="0"/>
            <w:vAlign w:val="center"/>
          </w:tcPr>
          <w:p w14:paraId="2CA12E28">
            <w:pPr>
              <w:spacing w:line="360" w:lineRule="exact"/>
              <w:jc w:val="center"/>
              <w:rPr>
                <w:rFonts w:ascii="Times New Roman" w:hAnsi="Times New Roman" w:eastAsia="黑体"/>
                <w:color w:val="000000"/>
                <w:kern w:val="21"/>
                <w:sz w:val="28"/>
                <w:szCs w:val="28"/>
                <w:lang w:eastAsia="en-US"/>
              </w:rPr>
            </w:pPr>
            <w:r>
              <w:rPr>
                <w:rFonts w:ascii="Times New Roman" w:hAnsi="Times New Roman" w:eastAsia="黑体"/>
                <w:color w:val="000000"/>
                <w:kern w:val="21"/>
                <w:sz w:val="28"/>
                <w:szCs w:val="28"/>
              </w:rPr>
              <w:t>职权类别</w:t>
            </w:r>
          </w:p>
        </w:tc>
        <w:tc>
          <w:tcPr>
            <w:tcW w:w="1462" w:type="dxa"/>
            <w:noWrap w:val="0"/>
            <w:vAlign w:val="center"/>
          </w:tcPr>
          <w:p w14:paraId="3364B4DE">
            <w:pPr>
              <w:spacing w:line="360" w:lineRule="exact"/>
              <w:jc w:val="center"/>
              <w:rPr>
                <w:rFonts w:ascii="Times New Roman" w:hAnsi="Times New Roman" w:eastAsia="黑体"/>
                <w:color w:val="000000"/>
                <w:kern w:val="21"/>
                <w:sz w:val="28"/>
                <w:szCs w:val="28"/>
                <w:lang w:eastAsia="en-US"/>
              </w:rPr>
            </w:pPr>
            <w:r>
              <w:rPr>
                <w:rFonts w:ascii="Times New Roman" w:hAnsi="Times New Roman" w:eastAsia="黑体"/>
                <w:color w:val="000000"/>
                <w:kern w:val="21"/>
                <w:sz w:val="28"/>
                <w:szCs w:val="28"/>
              </w:rPr>
              <w:t>实施单位</w:t>
            </w:r>
          </w:p>
        </w:tc>
        <w:tc>
          <w:tcPr>
            <w:tcW w:w="1590" w:type="dxa"/>
            <w:noWrap w:val="0"/>
            <w:vAlign w:val="center"/>
          </w:tcPr>
          <w:p w14:paraId="175A70EB">
            <w:pPr>
              <w:spacing w:line="360" w:lineRule="exact"/>
              <w:jc w:val="center"/>
              <w:rPr>
                <w:rFonts w:ascii="Times New Roman" w:hAnsi="Times New Roman" w:eastAsia="黑体"/>
                <w:color w:val="000000"/>
                <w:kern w:val="21"/>
                <w:sz w:val="28"/>
                <w:szCs w:val="28"/>
              </w:rPr>
            </w:pPr>
            <w:r>
              <w:rPr>
                <w:rFonts w:ascii="Times New Roman" w:hAnsi="Times New Roman" w:eastAsia="黑体"/>
                <w:color w:val="000000"/>
                <w:kern w:val="21"/>
                <w:sz w:val="28"/>
                <w:szCs w:val="28"/>
              </w:rPr>
              <w:t>承接单位</w:t>
            </w:r>
          </w:p>
        </w:tc>
        <w:tc>
          <w:tcPr>
            <w:tcW w:w="1961" w:type="dxa"/>
            <w:noWrap w:val="0"/>
            <w:vAlign w:val="center"/>
          </w:tcPr>
          <w:p w14:paraId="477D3908">
            <w:pPr>
              <w:kinsoku w:val="0"/>
              <w:adjustRightInd w:val="0"/>
              <w:snapToGrid w:val="0"/>
              <w:spacing w:line="360" w:lineRule="exact"/>
              <w:jc w:val="center"/>
              <w:rPr>
                <w:rFonts w:ascii="Times New Roman" w:hAnsi="Times New Roman" w:eastAsia="黑体"/>
                <w:color w:val="000000"/>
                <w:kern w:val="21"/>
                <w:sz w:val="28"/>
                <w:szCs w:val="28"/>
                <w:lang w:eastAsia="en-US"/>
              </w:rPr>
            </w:pPr>
            <w:r>
              <w:rPr>
                <w:rFonts w:ascii="Times New Roman" w:hAnsi="Times New Roman" w:eastAsia="黑体"/>
                <w:color w:val="000000"/>
                <w:kern w:val="21"/>
                <w:sz w:val="28"/>
                <w:szCs w:val="28"/>
                <w:lang w:bidi="ar"/>
              </w:rPr>
              <w:t>备注</w:t>
            </w:r>
          </w:p>
        </w:tc>
      </w:tr>
      <w:tr w14:paraId="16E6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823" w:type="dxa"/>
            <w:noWrap w:val="0"/>
            <w:vAlign w:val="center"/>
          </w:tcPr>
          <w:p w14:paraId="58CF9BF5">
            <w:pPr>
              <w:spacing w:line="360" w:lineRule="exact"/>
              <w:jc w:val="center"/>
              <w:rPr>
                <w:rFonts w:hint="eastAsia" w:ascii="Times New Roman" w:hAnsi="Times New Roman"/>
                <w:color w:val="000000"/>
                <w:kern w:val="21"/>
                <w:sz w:val="28"/>
                <w:szCs w:val="28"/>
              </w:rPr>
            </w:pPr>
            <w:r>
              <w:rPr>
                <w:rFonts w:hint="eastAsia" w:ascii="Times New Roman" w:hAnsi="Times New Roman"/>
                <w:kern w:val="21"/>
                <w:sz w:val="28"/>
                <w:szCs w:val="28"/>
              </w:rPr>
              <w:t>1</w:t>
            </w:r>
          </w:p>
        </w:tc>
        <w:tc>
          <w:tcPr>
            <w:tcW w:w="3415" w:type="dxa"/>
            <w:noWrap w:val="0"/>
            <w:vAlign w:val="center"/>
          </w:tcPr>
          <w:p w14:paraId="4E561C33">
            <w:pPr>
              <w:spacing w:line="360" w:lineRule="exact"/>
              <w:rPr>
                <w:rFonts w:ascii="Times New Roman" w:hAnsi="Times New Roman" w:eastAsia="仿宋_GB2312"/>
                <w:color w:val="000000"/>
                <w:kern w:val="21"/>
                <w:sz w:val="28"/>
                <w:szCs w:val="28"/>
              </w:rPr>
            </w:pPr>
            <w:r>
              <w:rPr>
                <w:rFonts w:ascii="Times New Roman" w:hAnsi="Times New Roman" w:eastAsia="仿宋_GB2312"/>
                <w:kern w:val="21"/>
                <w:sz w:val="28"/>
                <w:szCs w:val="28"/>
              </w:rPr>
              <w:t>职业卫生、放射卫生技术服务机构资质认可</w:t>
            </w:r>
          </w:p>
        </w:tc>
        <w:tc>
          <w:tcPr>
            <w:tcW w:w="804" w:type="dxa"/>
            <w:noWrap w:val="0"/>
            <w:vAlign w:val="center"/>
          </w:tcPr>
          <w:p w14:paraId="76FB7C1A">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kern w:val="21"/>
                <w:sz w:val="28"/>
                <w:szCs w:val="28"/>
              </w:rPr>
              <w:t>行政许可</w:t>
            </w:r>
          </w:p>
        </w:tc>
        <w:tc>
          <w:tcPr>
            <w:tcW w:w="1462" w:type="dxa"/>
            <w:noWrap w:val="0"/>
            <w:vAlign w:val="center"/>
          </w:tcPr>
          <w:p w14:paraId="19737696">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kern w:val="21"/>
                <w:sz w:val="28"/>
                <w:szCs w:val="28"/>
              </w:rPr>
              <w:t>省卫生健康委</w:t>
            </w:r>
          </w:p>
        </w:tc>
        <w:tc>
          <w:tcPr>
            <w:tcW w:w="1590" w:type="dxa"/>
            <w:noWrap w:val="0"/>
            <w:vAlign w:val="center"/>
          </w:tcPr>
          <w:p w14:paraId="51A80FA9">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kern w:val="21"/>
                <w:sz w:val="28"/>
                <w:szCs w:val="28"/>
              </w:rPr>
              <w:t>深圳市卫生健康委</w:t>
            </w:r>
          </w:p>
        </w:tc>
        <w:tc>
          <w:tcPr>
            <w:tcW w:w="1961" w:type="dxa"/>
            <w:noWrap w:val="0"/>
            <w:vAlign w:val="center"/>
          </w:tcPr>
          <w:p w14:paraId="78B934C4">
            <w:pPr>
              <w:spacing w:line="360" w:lineRule="exact"/>
              <w:rPr>
                <w:rFonts w:ascii="Times New Roman" w:hAnsi="Times New Roman" w:eastAsia="仿宋_GB2312"/>
                <w:color w:val="000000"/>
                <w:sz w:val="28"/>
                <w:szCs w:val="28"/>
              </w:rPr>
            </w:pPr>
            <w:r>
              <w:rPr>
                <w:rFonts w:ascii="Times New Roman" w:hAnsi="Times New Roman" w:eastAsia="仿宋_GB2312"/>
                <w:kern w:val="21"/>
                <w:sz w:val="28"/>
                <w:szCs w:val="28"/>
              </w:rPr>
              <w:t>仅限职业卫生技术服务机构资质认可。</w:t>
            </w:r>
          </w:p>
        </w:tc>
      </w:tr>
      <w:tr w14:paraId="221C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823" w:type="dxa"/>
            <w:noWrap w:val="0"/>
            <w:vAlign w:val="center"/>
          </w:tcPr>
          <w:p w14:paraId="17A45A34">
            <w:pPr>
              <w:spacing w:line="360" w:lineRule="exact"/>
              <w:jc w:val="center"/>
              <w:rPr>
                <w:rFonts w:hint="eastAsia" w:ascii="Times New Roman" w:hAnsi="Times New Roman"/>
                <w:color w:val="000000"/>
                <w:kern w:val="21"/>
                <w:sz w:val="28"/>
                <w:szCs w:val="28"/>
              </w:rPr>
            </w:pPr>
            <w:r>
              <w:rPr>
                <w:rFonts w:hint="eastAsia" w:ascii="Times New Roman" w:hAnsi="Times New Roman"/>
                <w:kern w:val="21"/>
                <w:sz w:val="28"/>
                <w:szCs w:val="28"/>
              </w:rPr>
              <w:t>2</w:t>
            </w:r>
          </w:p>
        </w:tc>
        <w:tc>
          <w:tcPr>
            <w:tcW w:w="3415" w:type="dxa"/>
            <w:noWrap w:val="0"/>
            <w:vAlign w:val="center"/>
          </w:tcPr>
          <w:p w14:paraId="4C619ADC">
            <w:pPr>
              <w:spacing w:line="360" w:lineRule="exact"/>
              <w:rPr>
                <w:rFonts w:ascii="Times New Roman" w:hAnsi="Times New Roman" w:eastAsia="仿宋_GB2312"/>
                <w:color w:val="000000"/>
                <w:kern w:val="21"/>
                <w:sz w:val="28"/>
                <w:szCs w:val="28"/>
              </w:rPr>
            </w:pPr>
            <w:r>
              <w:rPr>
                <w:rFonts w:ascii="Times New Roman" w:hAnsi="Times New Roman" w:eastAsia="仿宋_GB2312"/>
                <w:kern w:val="21"/>
                <w:sz w:val="28"/>
                <w:szCs w:val="28"/>
              </w:rPr>
              <w:t>进入自然保护区从事有关活动审批</w:t>
            </w:r>
          </w:p>
        </w:tc>
        <w:tc>
          <w:tcPr>
            <w:tcW w:w="804" w:type="dxa"/>
            <w:noWrap w:val="0"/>
            <w:vAlign w:val="center"/>
          </w:tcPr>
          <w:p w14:paraId="2C99A49A">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kern w:val="21"/>
                <w:sz w:val="28"/>
                <w:szCs w:val="28"/>
              </w:rPr>
              <w:t>行政许可</w:t>
            </w:r>
          </w:p>
        </w:tc>
        <w:tc>
          <w:tcPr>
            <w:tcW w:w="1462" w:type="dxa"/>
            <w:noWrap w:val="0"/>
            <w:vAlign w:val="center"/>
          </w:tcPr>
          <w:p w14:paraId="3622CD57">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kern w:val="21"/>
                <w:sz w:val="28"/>
                <w:szCs w:val="28"/>
              </w:rPr>
              <w:t>省林业局</w:t>
            </w:r>
          </w:p>
        </w:tc>
        <w:tc>
          <w:tcPr>
            <w:tcW w:w="1590" w:type="dxa"/>
            <w:noWrap w:val="0"/>
            <w:vAlign w:val="center"/>
          </w:tcPr>
          <w:p w14:paraId="621BEE4A">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kern w:val="21"/>
                <w:sz w:val="28"/>
                <w:szCs w:val="28"/>
              </w:rPr>
              <w:t>深圳市规划和自然资源局</w:t>
            </w:r>
          </w:p>
        </w:tc>
        <w:tc>
          <w:tcPr>
            <w:tcW w:w="1961" w:type="dxa"/>
            <w:noWrap w:val="0"/>
            <w:vAlign w:val="center"/>
          </w:tcPr>
          <w:p w14:paraId="6D2DF89E">
            <w:pPr>
              <w:spacing w:line="360" w:lineRule="exact"/>
            </w:pPr>
            <w:r>
              <w:rPr>
                <w:rFonts w:ascii="Times New Roman" w:hAnsi="Times New Roman" w:eastAsia="仿宋_GB2312"/>
                <w:kern w:val="21"/>
                <w:sz w:val="28"/>
                <w:szCs w:val="28"/>
              </w:rPr>
              <w:t>仅限在森林和野生动物类型地方级自然保护区修筑设施审批。</w:t>
            </w:r>
          </w:p>
        </w:tc>
      </w:tr>
      <w:tr w14:paraId="71DA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823" w:type="dxa"/>
            <w:noWrap w:val="0"/>
            <w:vAlign w:val="center"/>
          </w:tcPr>
          <w:p w14:paraId="5F0C1237">
            <w:pPr>
              <w:spacing w:line="360" w:lineRule="exact"/>
              <w:jc w:val="center"/>
              <w:rPr>
                <w:rFonts w:hint="eastAsia" w:ascii="Times New Roman" w:hAnsi="Times New Roman"/>
                <w:color w:val="000000"/>
                <w:kern w:val="21"/>
                <w:sz w:val="28"/>
                <w:szCs w:val="28"/>
              </w:rPr>
            </w:pPr>
            <w:r>
              <w:rPr>
                <w:rFonts w:hint="eastAsia" w:ascii="Times New Roman" w:hAnsi="Times New Roman"/>
                <w:kern w:val="21"/>
                <w:sz w:val="28"/>
                <w:szCs w:val="28"/>
              </w:rPr>
              <w:t>3</w:t>
            </w:r>
          </w:p>
        </w:tc>
        <w:tc>
          <w:tcPr>
            <w:tcW w:w="3415" w:type="dxa"/>
            <w:noWrap w:val="0"/>
            <w:vAlign w:val="center"/>
          </w:tcPr>
          <w:p w14:paraId="56AEE232">
            <w:pPr>
              <w:spacing w:line="360" w:lineRule="exact"/>
              <w:rPr>
                <w:rFonts w:ascii="Times New Roman" w:hAnsi="Times New Roman" w:eastAsia="仿宋_GB2312"/>
                <w:color w:val="000000"/>
                <w:kern w:val="21"/>
                <w:sz w:val="28"/>
                <w:szCs w:val="28"/>
              </w:rPr>
            </w:pPr>
            <w:r>
              <w:rPr>
                <w:rFonts w:ascii="Times New Roman" w:hAnsi="Times New Roman" w:eastAsia="仿宋_GB2312"/>
                <w:kern w:val="21"/>
                <w:sz w:val="28"/>
                <w:szCs w:val="28"/>
              </w:rPr>
              <w:t>武器装备科研生产单位保密资格认定</w:t>
            </w:r>
          </w:p>
        </w:tc>
        <w:tc>
          <w:tcPr>
            <w:tcW w:w="804" w:type="dxa"/>
            <w:noWrap w:val="0"/>
            <w:vAlign w:val="center"/>
          </w:tcPr>
          <w:p w14:paraId="7C8C367A">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kern w:val="21"/>
                <w:sz w:val="28"/>
                <w:szCs w:val="28"/>
              </w:rPr>
              <w:t>行政许可</w:t>
            </w:r>
          </w:p>
        </w:tc>
        <w:tc>
          <w:tcPr>
            <w:tcW w:w="1462" w:type="dxa"/>
            <w:noWrap w:val="0"/>
            <w:vAlign w:val="center"/>
          </w:tcPr>
          <w:p w14:paraId="3FF826AA">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kern w:val="21"/>
                <w:sz w:val="28"/>
                <w:szCs w:val="28"/>
              </w:rPr>
              <w:t>省保密局、省国防科工办</w:t>
            </w:r>
          </w:p>
        </w:tc>
        <w:tc>
          <w:tcPr>
            <w:tcW w:w="1590" w:type="dxa"/>
            <w:noWrap w:val="0"/>
            <w:vAlign w:val="center"/>
          </w:tcPr>
          <w:p w14:paraId="4875FED8">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kern w:val="21"/>
                <w:sz w:val="28"/>
                <w:szCs w:val="28"/>
              </w:rPr>
              <w:t>深圳市保密局、深圳市国防科工办</w:t>
            </w:r>
          </w:p>
        </w:tc>
        <w:tc>
          <w:tcPr>
            <w:tcW w:w="1961" w:type="dxa"/>
            <w:noWrap w:val="0"/>
            <w:vAlign w:val="center"/>
          </w:tcPr>
          <w:p w14:paraId="4CC58D88">
            <w:pPr>
              <w:spacing w:line="360" w:lineRule="exact"/>
            </w:pPr>
            <w:r>
              <w:rPr>
                <w:rFonts w:ascii="Times New Roman" w:hAnsi="Times New Roman" w:eastAsia="仿宋_GB2312"/>
                <w:kern w:val="21"/>
                <w:sz w:val="28"/>
                <w:szCs w:val="28"/>
              </w:rPr>
              <w:t>仅限武器装备科研生产单位二级保密资格（资质）认定。</w:t>
            </w:r>
          </w:p>
        </w:tc>
      </w:tr>
      <w:tr w14:paraId="41D6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823" w:type="dxa"/>
            <w:noWrap w:val="0"/>
            <w:vAlign w:val="center"/>
          </w:tcPr>
          <w:p w14:paraId="7B592B52">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4</w:t>
            </w:r>
          </w:p>
        </w:tc>
        <w:tc>
          <w:tcPr>
            <w:tcW w:w="3415" w:type="dxa"/>
            <w:noWrap w:val="0"/>
            <w:vAlign w:val="center"/>
          </w:tcPr>
          <w:p w14:paraId="1B4DC76E">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根据《无人驾驶航空器飞行管理暂行条例》规定，对非法拥有、使用无人驾驶航空器反制设备的行为的行政处罚</w:t>
            </w:r>
          </w:p>
        </w:tc>
        <w:tc>
          <w:tcPr>
            <w:tcW w:w="804" w:type="dxa"/>
            <w:noWrap w:val="0"/>
            <w:vAlign w:val="center"/>
          </w:tcPr>
          <w:p w14:paraId="25F0786F">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4CD8A24E">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23A3A6F8">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3D83B4A0">
            <w:pPr>
              <w:spacing w:line="360" w:lineRule="exact"/>
              <w:rPr>
                <w:rFonts w:ascii="Times New Roman" w:hAnsi="Times New Roman" w:eastAsia="仿宋_GB2312"/>
                <w:color w:val="000000"/>
                <w:sz w:val="28"/>
                <w:szCs w:val="28"/>
              </w:rPr>
            </w:pPr>
          </w:p>
        </w:tc>
      </w:tr>
      <w:tr w14:paraId="0988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23" w:type="dxa"/>
            <w:noWrap w:val="0"/>
            <w:vAlign w:val="center"/>
          </w:tcPr>
          <w:p w14:paraId="56590C68">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5</w:t>
            </w:r>
          </w:p>
        </w:tc>
        <w:tc>
          <w:tcPr>
            <w:tcW w:w="3415" w:type="dxa"/>
            <w:noWrap w:val="0"/>
            <w:vAlign w:val="center"/>
          </w:tcPr>
          <w:p w14:paraId="3262CC8B">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根据《广东省无线电管理条例》规定，对危及固定无线电监测台（站）的安全或者妨碍其正常使用的行为的行政处罚</w:t>
            </w:r>
          </w:p>
        </w:tc>
        <w:tc>
          <w:tcPr>
            <w:tcW w:w="804" w:type="dxa"/>
            <w:noWrap w:val="0"/>
            <w:vAlign w:val="center"/>
          </w:tcPr>
          <w:p w14:paraId="5B5FB538">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1FD5B082">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5E610D6F">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55140520">
            <w:pPr>
              <w:spacing w:line="360" w:lineRule="exact"/>
              <w:rPr>
                <w:rFonts w:ascii="Times New Roman" w:hAnsi="Times New Roman" w:eastAsia="仿宋_GB2312"/>
                <w:color w:val="000000"/>
                <w:sz w:val="28"/>
                <w:szCs w:val="28"/>
              </w:rPr>
            </w:pPr>
          </w:p>
        </w:tc>
      </w:tr>
      <w:tr w14:paraId="3672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67D7396A">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6</w:t>
            </w:r>
          </w:p>
        </w:tc>
        <w:tc>
          <w:tcPr>
            <w:tcW w:w="3415" w:type="dxa"/>
            <w:noWrap w:val="0"/>
            <w:vAlign w:val="center"/>
          </w:tcPr>
          <w:p w14:paraId="371F0CD8">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根据《广东省无线电管理条例》规定，对擅自使用具有无线电信号阻断能力的设备的行为的行政处罚</w:t>
            </w:r>
          </w:p>
        </w:tc>
        <w:tc>
          <w:tcPr>
            <w:tcW w:w="804" w:type="dxa"/>
            <w:noWrap w:val="0"/>
            <w:vAlign w:val="center"/>
          </w:tcPr>
          <w:p w14:paraId="395F2FC4">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189B567B">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32AF9C25">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5804AF7F">
            <w:pPr>
              <w:spacing w:line="360" w:lineRule="exact"/>
              <w:rPr>
                <w:rFonts w:ascii="Times New Roman" w:hAnsi="Times New Roman" w:eastAsia="仿宋_GB2312"/>
                <w:color w:val="000000"/>
                <w:kern w:val="21"/>
                <w:sz w:val="28"/>
                <w:szCs w:val="28"/>
              </w:rPr>
            </w:pPr>
          </w:p>
        </w:tc>
      </w:tr>
      <w:tr w14:paraId="0057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34E56665">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7</w:t>
            </w:r>
          </w:p>
        </w:tc>
        <w:tc>
          <w:tcPr>
            <w:tcW w:w="3415" w:type="dxa"/>
            <w:noWrap w:val="0"/>
            <w:vAlign w:val="center"/>
          </w:tcPr>
          <w:p w14:paraId="27E1E05A">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根据《广东省无线电管理条例》规定，对为非法设置、使用无线电台提供场所、设备等便利条件的行为的行政处罚</w:t>
            </w:r>
          </w:p>
        </w:tc>
        <w:tc>
          <w:tcPr>
            <w:tcW w:w="804" w:type="dxa"/>
            <w:noWrap w:val="0"/>
            <w:vAlign w:val="center"/>
          </w:tcPr>
          <w:p w14:paraId="7C473763">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139AC811">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1BB5C54C">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0799C3DF">
            <w:pPr>
              <w:spacing w:line="360" w:lineRule="exact"/>
              <w:rPr>
                <w:rFonts w:ascii="Times New Roman" w:hAnsi="Times New Roman" w:eastAsia="仿宋_GB2312"/>
                <w:color w:val="000000"/>
                <w:kern w:val="21"/>
                <w:sz w:val="28"/>
                <w:szCs w:val="28"/>
              </w:rPr>
            </w:pPr>
          </w:p>
        </w:tc>
      </w:tr>
      <w:tr w14:paraId="3E43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038415D0">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8</w:t>
            </w:r>
          </w:p>
        </w:tc>
        <w:tc>
          <w:tcPr>
            <w:tcW w:w="3415" w:type="dxa"/>
            <w:noWrap w:val="0"/>
            <w:vAlign w:val="center"/>
          </w:tcPr>
          <w:p w14:paraId="54A8D228">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根据《民用机场管理条例》规定，对使用的无线电台（站）或者其他仪器、装置，对民用航空无线电专用频率的正常使用产生干扰的行为的行政处罚</w:t>
            </w:r>
          </w:p>
        </w:tc>
        <w:tc>
          <w:tcPr>
            <w:tcW w:w="804" w:type="dxa"/>
            <w:noWrap w:val="0"/>
            <w:vAlign w:val="center"/>
          </w:tcPr>
          <w:p w14:paraId="26881FB1">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759F24A7">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6D03737C">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49F53758">
            <w:pPr>
              <w:spacing w:line="360" w:lineRule="exact"/>
              <w:rPr>
                <w:rFonts w:ascii="Times New Roman" w:hAnsi="Times New Roman" w:eastAsia="仿宋_GB2312"/>
                <w:color w:val="000000"/>
                <w:kern w:val="21"/>
                <w:sz w:val="28"/>
                <w:szCs w:val="28"/>
              </w:rPr>
            </w:pPr>
          </w:p>
        </w:tc>
      </w:tr>
      <w:tr w14:paraId="5A68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563A714B">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9</w:t>
            </w:r>
          </w:p>
        </w:tc>
        <w:tc>
          <w:tcPr>
            <w:tcW w:w="3415" w:type="dxa"/>
            <w:noWrap w:val="0"/>
            <w:vAlign w:val="center"/>
          </w:tcPr>
          <w:p w14:paraId="63CEC776">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根据《无线电频率使用许可管理办法》规定，对申请人隐瞒有关情况或者提供虚假材料申请无线电频率使用许可的行为的行政处罚</w:t>
            </w:r>
          </w:p>
        </w:tc>
        <w:tc>
          <w:tcPr>
            <w:tcW w:w="804" w:type="dxa"/>
            <w:noWrap w:val="0"/>
            <w:vAlign w:val="center"/>
          </w:tcPr>
          <w:p w14:paraId="19E25220">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1CF0E6EF">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18B09BE8">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17EEDA62">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仅限对以省工业和信息化厅名义实施的许可事项涉及的行政处罚。</w:t>
            </w:r>
          </w:p>
        </w:tc>
      </w:tr>
      <w:tr w14:paraId="2C7D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13BCFDC5">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10</w:t>
            </w:r>
          </w:p>
        </w:tc>
        <w:tc>
          <w:tcPr>
            <w:tcW w:w="3415" w:type="dxa"/>
            <w:noWrap w:val="0"/>
            <w:vAlign w:val="center"/>
          </w:tcPr>
          <w:p w14:paraId="43805936">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根据《无线电频率使用许可管理办法》规定，对无线电频率使用人在无线电频率使用许可的期限内，降低其申请取得无线电频率使用许可时所应当符合的条件的行为的行政处罚</w:t>
            </w:r>
          </w:p>
        </w:tc>
        <w:tc>
          <w:tcPr>
            <w:tcW w:w="804" w:type="dxa"/>
            <w:noWrap w:val="0"/>
            <w:vAlign w:val="center"/>
          </w:tcPr>
          <w:p w14:paraId="0C71EF97">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1E2A2E69">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54152058">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26F6BA20">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仅限对以省工业和信息化厅名义实施的许可事项涉及的行政处罚。</w:t>
            </w:r>
          </w:p>
        </w:tc>
      </w:tr>
      <w:tr w14:paraId="489F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46CB196E">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11</w:t>
            </w:r>
          </w:p>
        </w:tc>
        <w:tc>
          <w:tcPr>
            <w:tcW w:w="3415" w:type="dxa"/>
            <w:noWrap w:val="0"/>
            <w:vAlign w:val="center"/>
          </w:tcPr>
          <w:p w14:paraId="35E98AA1">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根据《无线电频率使用许可管理办法》规定，对伪造、涂改、冒用无线电频率使用许可证的行为的行政处罚</w:t>
            </w:r>
          </w:p>
        </w:tc>
        <w:tc>
          <w:tcPr>
            <w:tcW w:w="804" w:type="dxa"/>
            <w:noWrap w:val="0"/>
            <w:vAlign w:val="center"/>
          </w:tcPr>
          <w:p w14:paraId="6FA09270">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7D2A8BEB">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5E1F2ED1">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1A055DB9">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仅限对以省工业和信息化厅名义实施的许可事项涉及的行政处罚。</w:t>
            </w:r>
          </w:p>
        </w:tc>
      </w:tr>
      <w:tr w14:paraId="54AB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4DC5012C">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12</w:t>
            </w:r>
          </w:p>
        </w:tc>
        <w:tc>
          <w:tcPr>
            <w:tcW w:w="3415" w:type="dxa"/>
            <w:noWrap w:val="0"/>
            <w:vAlign w:val="center"/>
          </w:tcPr>
          <w:p w14:paraId="161B869C">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根据《无线电频率使用许可管理办法》规定，对无线电频率使用人违反无线电频率使用许可证的要求使用频率，或者拒不接受、配合无线电管理机构依法实施的监督管理的行为的行政处罚</w:t>
            </w:r>
          </w:p>
        </w:tc>
        <w:tc>
          <w:tcPr>
            <w:tcW w:w="804" w:type="dxa"/>
            <w:noWrap w:val="0"/>
            <w:vAlign w:val="center"/>
          </w:tcPr>
          <w:p w14:paraId="5245ECAB">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29435D5B">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2D4FEDDF">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0BD0B0AC">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仅限对以省工业和信息化厅名义实施的许可事项涉及的行政处罚。</w:t>
            </w:r>
          </w:p>
        </w:tc>
      </w:tr>
      <w:tr w14:paraId="0EFA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7E36C016">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13</w:t>
            </w:r>
          </w:p>
        </w:tc>
        <w:tc>
          <w:tcPr>
            <w:tcW w:w="3415" w:type="dxa"/>
            <w:noWrap w:val="0"/>
            <w:vAlign w:val="center"/>
          </w:tcPr>
          <w:p w14:paraId="1AF5E745">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根据《无线电频率使用许可管理办法》规定，对以欺骗、贿赂等不正当手段取得无线电频率使用许可的行为的行政处罚</w:t>
            </w:r>
          </w:p>
        </w:tc>
        <w:tc>
          <w:tcPr>
            <w:tcW w:w="804" w:type="dxa"/>
            <w:noWrap w:val="0"/>
            <w:vAlign w:val="center"/>
          </w:tcPr>
          <w:p w14:paraId="32E8924E">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24FE1AF2">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省工业和信息化厅</w:t>
            </w:r>
          </w:p>
        </w:tc>
        <w:tc>
          <w:tcPr>
            <w:tcW w:w="1590" w:type="dxa"/>
            <w:noWrap w:val="0"/>
            <w:vAlign w:val="center"/>
          </w:tcPr>
          <w:p w14:paraId="38E8C1C5">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深圳市工业和信息化局</w:t>
            </w:r>
          </w:p>
        </w:tc>
        <w:tc>
          <w:tcPr>
            <w:tcW w:w="1961" w:type="dxa"/>
            <w:noWrap w:val="0"/>
            <w:vAlign w:val="center"/>
          </w:tcPr>
          <w:p w14:paraId="22334BB2">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仅限对以省工业和信息化厅名义实施的许可事项涉及的行政处罚。</w:t>
            </w:r>
          </w:p>
        </w:tc>
      </w:tr>
      <w:tr w14:paraId="65E4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267D7956">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1</w:t>
            </w:r>
            <w:r>
              <w:rPr>
                <w:rFonts w:hint="eastAsia" w:ascii="Times New Roman" w:hAnsi="Times New Roman"/>
                <w:color w:val="000000"/>
                <w:kern w:val="21"/>
                <w:sz w:val="28"/>
                <w:szCs w:val="28"/>
              </w:rPr>
              <w:t>4</w:t>
            </w:r>
          </w:p>
        </w:tc>
        <w:tc>
          <w:tcPr>
            <w:tcW w:w="3415" w:type="dxa"/>
            <w:noWrap w:val="0"/>
            <w:vAlign w:val="center"/>
          </w:tcPr>
          <w:p w14:paraId="59C8872F">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对个人、法人或者其他组织未经依法登记实施《广东省司法鉴定管理条例》规定的司法鉴定活动的行为的行政处罚</w:t>
            </w:r>
          </w:p>
        </w:tc>
        <w:tc>
          <w:tcPr>
            <w:tcW w:w="804" w:type="dxa"/>
            <w:noWrap w:val="0"/>
            <w:vAlign w:val="center"/>
          </w:tcPr>
          <w:p w14:paraId="1F41F7E8">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0930B0F5">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省司法厅</w:t>
            </w:r>
          </w:p>
        </w:tc>
        <w:tc>
          <w:tcPr>
            <w:tcW w:w="1590" w:type="dxa"/>
            <w:noWrap w:val="0"/>
            <w:vAlign w:val="center"/>
          </w:tcPr>
          <w:p w14:paraId="11C837BF">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深圳市司法局</w:t>
            </w:r>
          </w:p>
        </w:tc>
        <w:tc>
          <w:tcPr>
            <w:tcW w:w="1961" w:type="dxa"/>
            <w:noWrap w:val="0"/>
            <w:vAlign w:val="center"/>
          </w:tcPr>
          <w:p w14:paraId="72C1438A">
            <w:pPr>
              <w:spacing w:line="360" w:lineRule="exact"/>
              <w:rPr>
                <w:rFonts w:ascii="Times New Roman" w:hAnsi="Times New Roman" w:eastAsia="仿宋_GB2312"/>
                <w:color w:val="000000"/>
                <w:kern w:val="21"/>
                <w:sz w:val="28"/>
                <w:szCs w:val="28"/>
              </w:rPr>
            </w:pPr>
          </w:p>
        </w:tc>
      </w:tr>
      <w:tr w14:paraId="7FD8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1B5C33BC">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15</w:t>
            </w:r>
          </w:p>
        </w:tc>
        <w:tc>
          <w:tcPr>
            <w:tcW w:w="3415" w:type="dxa"/>
            <w:noWrap w:val="0"/>
            <w:vAlign w:val="center"/>
          </w:tcPr>
          <w:p w14:paraId="35373ADF">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广东省司法鉴定管理条例》规定，对司法鉴定机构有下列情形之一的行政处罚：（一）违反保密规定的；（二）违反回避规定的；（三）未经登记设立分支机构的；（四）登记事项发生变化，未依法申请变更登记的；（五）协助他人骗取登记或者为他人骗取登记提供便利的；（六）无正当理由拒绝接受司法鉴定委托的；（七）违反司法鉴定收费管理规定的；（八）未对鉴定过程或者鉴定材料提取、接收、保管、使用、销毁、退回过程进行记录，或者记录不真实、记录存在重大遗漏的；（九）未及时通知或者拒绝提供必要条件导致司法鉴定人未能出庭作证的；（十）违法违规在本机构登记的执业场所以外实施鉴定执业活动的；（十一）以支付回扣、介绍费或者虚假宣传、恶意诋毁其他同行业机构和人员等不正当手段招揽业务的；（十二）不按规定归档、未妥善保管鉴定档案以致损毁或者擅自销毁鉴定档案的；（十三）法律、法规规定的其他情形。</w:t>
            </w:r>
          </w:p>
        </w:tc>
        <w:tc>
          <w:tcPr>
            <w:tcW w:w="804" w:type="dxa"/>
            <w:noWrap w:val="0"/>
            <w:vAlign w:val="center"/>
          </w:tcPr>
          <w:p w14:paraId="7F928E90">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1950BC6B">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省司法厅</w:t>
            </w:r>
          </w:p>
        </w:tc>
        <w:tc>
          <w:tcPr>
            <w:tcW w:w="1590" w:type="dxa"/>
            <w:noWrap w:val="0"/>
            <w:vAlign w:val="center"/>
          </w:tcPr>
          <w:p w14:paraId="5D48C7FC">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深圳市司法局</w:t>
            </w:r>
          </w:p>
        </w:tc>
        <w:tc>
          <w:tcPr>
            <w:tcW w:w="1961" w:type="dxa"/>
            <w:noWrap w:val="0"/>
            <w:vAlign w:val="center"/>
          </w:tcPr>
          <w:p w14:paraId="7EBB9E66">
            <w:pPr>
              <w:spacing w:line="360" w:lineRule="exact"/>
              <w:rPr>
                <w:rFonts w:ascii="Times New Roman" w:hAnsi="Times New Roman" w:eastAsia="仿宋_GB2312"/>
                <w:color w:val="000000"/>
                <w:kern w:val="21"/>
                <w:sz w:val="28"/>
                <w:szCs w:val="28"/>
              </w:rPr>
            </w:pPr>
          </w:p>
        </w:tc>
      </w:tr>
      <w:tr w14:paraId="68B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391AC1C6">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1</w:t>
            </w:r>
            <w:r>
              <w:rPr>
                <w:rFonts w:hint="eastAsia" w:ascii="Times New Roman" w:hAnsi="Times New Roman"/>
                <w:color w:val="000000"/>
                <w:kern w:val="21"/>
                <w:sz w:val="28"/>
                <w:szCs w:val="28"/>
              </w:rPr>
              <w:t>6</w:t>
            </w:r>
          </w:p>
        </w:tc>
        <w:tc>
          <w:tcPr>
            <w:tcW w:w="3415" w:type="dxa"/>
            <w:noWrap w:val="0"/>
            <w:vAlign w:val="center"/>
          </w:tcPr>
          <w:p w14:paraId="5E176122">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广东省司法鉴定管理条例》规定，对司法鉴定机构有下列情形之一的行政处罚：（一）将已接受委托的鉴定事项转交他人承办的；（二）授意或者放任他人在鉴定意见书上冒充司法鉴定人签名的；（三）授意或者放任司法鉴定人违反鉴定程序、技术操作规范、管理规定的；（四）组织未经登记的人员开展必须由司法鉴定人实施的鉴定执业活动的；（五）拒绝接受司法行政部门监督、检查，或者向其提供虚假材料、作出虚假陈述的；（六）涂改、倒卖、出租、出借司法鉴定许可证，或者出借本机构名义为他人招揽业务的；（七）法律、法规规定的其他情形。</w:t>
            </w:r>
          </w:p>
        </w:tc>
        <w:tc>
          <w:tcPr>
            <w:tcW w:w="804" w:type="dxa"/>
            <w:noWrap w:val="0"/>
            <w:vAlign w:val="center"/>
          </w:tcPr>
          <w:p w14:paraId="01CB10FB">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33E17F66">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省司法厅</w:t>
            </w:r>
          </w:p>
        </w:tc>
        <w:tc>
          <w:tcPr>
            <w:tcW w:w="1590" w:type="dxa"/>
            <w:noWrap w:val="0"/>
            <w:vAlign w:val="center"/>
          </w:tcPr>
          <w:p w14:paraId="0E595B90">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深圳市司法局</w:t>
            </w:r>
          </w:p>
        </w:tc>
        <w:tc>
          <w:tcPr>
            <w:tcW w:w="1961" w:type="dxa"/>
            <w:noWrap w:val="0"/>
            <w:vAlign w:val="center"/>
          </w:tcPr>
          <w:p w14:paraId="7BE7E112">
            <w:pPr>
              <w:spacing w:line="360" w:lineRule="exact"/>
              <w:rPr>
                <w:rFonts w:ascii="Times New Roman" w:hAnsi="Times New Roman" w:eastAsia="仿宋_GB2312"/>
                <w:color w:val="000000"/>
                <w:kern w:val="21"/>
                <w:sz w:val="28"/>
                <w:szCs w:val="28"/>
              </w:rPr>
            </w:pPr>
          </w:p>
        </w:tc>
      </w:tr>
      <w:tr w14:paraId="0572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4A3CEF03">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1</w:t>
            </w:r>
            <w:r>
              <w:rPr>
                <w:rFonts w:hint="eastAsia" w:ascii="Times New Roman" w:hAnsi="Times New Roman"/>
                <w:color w:val="000000"/>
                <w:kern w:val="21"/>
                <w:sz w:val="28"/>
                <w:szCs w:val="28"/>
              </w:rPr>
              <w:t>7</w:t>
            </w:r>
          </w:p>
        </w:tc>
        <w:tc>
          <w:tcPr>
            <w:tcW w:w="3415" w:type="dxa"/>
            <w:noWrap w:val="0"/>
            <w:vAlign w:val="center"/>
          </w:tcPr>
          <w:p w14:paraId="7A24185E">
            <w:pPr>
              <w:spacing w:line="34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广东省司法鉴定管理条例》规定，对司法鉴定人有下列情形之一的行政处罚：（一）违反保密规定的；（二）违反本条例第三十三条第一款第四项的回避规定的；（三）违反鉴定程序、技术操作规范、管理规定进行鉴定的；（四）协助他人骗取登记或者为他人骗取登记提供便利的；（五）无正当理由不按时、拒绝出具鉴定意见书，或者不按照委托事项进行鉴定的；（六）因过失出具错误的鉴定意见的；（七）私下接触诉讼当事人、利害关系人的；（八）法律、法规规定的其他情形。</w:t>
            </w:r>
          </w:p>
        </w:tc>
        <w:tc>
          <w:tcPr>
            <w:tcW w:w="804" w:type="dxa"/>
            <w:noWrap w:val="0"/>
            <w:vAlign w:val="center"/>
          </w:tcPr>
          <w:p w14:paraId="23587A14">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342CE784">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省司法厅</w:t>
            </w:r>
          </w:p>
        </w:tc>
        <w:tc>
          <w:tcPr>
            <w:tcW w:w="1590" w:type="dxa"/>
            <w:noWrap w:val="0"/>
            <w:vAlign w:val="center"/>
          </w:tcPr>
          <w:p w14:paraId="1C2FD618">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深圳市司法局</w:t>
            </w:r>
          </w:p>
        </w:tc>
        <w:tc>
          <w:tcPr>
            <w:tcW w:w="1961" w:type="dxa"/>
            <w:noWrap w:val="0"/>
            <w:vAlign w:val="center"/>
          </w:tcPr>
          <w:p w14:paraId="0B4A6FC9">
            <w:pPr>
              <w:spacing w:line="360" w:lineRule="exact"/>
              <w:rPr>
                <w:rFonts w:ascii="Times New Roman" w:hAnsi="Times New Roman" w:eastAsia="仿宋_GB2312"/>
                <w:color w:val="000000"/>
                <w:kern w:val="21"/>
                <w:sz w:val="28"/>
                <w:szCs w:val="28"/>
              </w:rPr>
            </w:pPr>
          </w:p>
        </w:tc>
      </w:tr>
      <w:tr w14:paraId="1D81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13132264">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1</w:t>
            </w:r>
            <w:r>
              <w:rPr>
                <w:rFonts w:hint="eastAsia" w:ascii="Times New Roman" w:hAnsi="Times New Roman"/>
                <w:color w:val="000000"/>
                <w:kern w:val="21"/>
                <w:sz w:val="28"/>
                <w:szCs w:val="28"/>
              </w:rPr>
              <w:t>8</w:t>
            </w:r>
          </w:p>
        </w:tc>
        <w:tc>
          <w:tcPr>
            <w:tcW w:w="3415" w:type="dxa"/>
            <w:noWrap w:val="0"/>
            <w:vAlign w:val="center"/>
          </w:tcPr>
          <w:p w14:paraId="01A03C0B">
            <w:pPr>
              <w:spacing w:line="34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根据《广东省司法鉴定管理条例》规定，对司法鉴定人有下列情形之一的行政处罚：（一）授意或者放任他人在鉴定意见书上冒充本人签名的；（二）违规收受鉴定案件当事人、利害关系人财物的；（三）拒绝接受司法行政部门监督、检查，或者向其提供虚假材料、作出虚假陈述的；（四）涂改、倒卖、出租、出借司法鉴定人执业证，或者出借个人名义为他人招揽业务的；（五）法律、法规规定的其他情形。</w:t>
            </w:r>
          </w:p>
        </w:tc>
        <w:tc>
          <w:tcPr>
            <w:tcW w:w="804" w:type="dxa"/>
            <w:noWrap w:val="0"/>
            <w:vAlign w:val="center"/>
          </w:tcPr>
          <w:p w14:paraId="5D375745">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1633FC2D">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省司法厅</w:t>
            </w:r>
          </w:p>
        </w:tc>
        <w:tc>
          <w:tcPr>
            <w:tcW w:w="1590" w:type="dxa"/>
            <w:noWrap w:val="0"/>
            <w:vAlign w:val="center"/>
          </w:tcPr>
          <w:p w14:paraId="4BFAD6E0">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深圳市司法局</w:t>
            </w:r>
          </w:p>
        </w:tc>
        <w:tc>
          <w:tcPr>
            <w:tcW w:w="1961" w:type="dxa"/>
            <w:noWrap w:val="0"/>
            <w:vAlign w:val="center"/>
          </w:tcPr>
          <w:p w14:paraId="0EF194D6">
            <w:pPr>
              <w:spacing w:line="360" w:lineRule="exact"/>
              <w:rPr>
                <w:rFonts w:ascii="Times New Roman" w:hAnsi="Times New Roman" w:eastAsia="仿宋_GB2312"/>
                <w:color w:val="000000"/>
                <w:kern w:val="21"/>
                <w:sz w:val="28"/>
                <w:szCs w:val="28"/>
              </w:rPr>
            </w:pPr>
          </w:p>
        </w:tc>
      </w:tr>
      <w:tr w14:paraId="3FE1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02C649C4">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1</w:t>
            </w:r>
            <w:r>
              <w:rPr>
                <w:rFonts w:hint="eastAsia" w:ascii="Times New Roman" w:hAnsi="Times New Roman"/>
                <w:color w:val="000000"/>
                <w:kern w:val="21"/>
                <w:sz w:val="28"/>
                <w:szCs w:val="28"/>
              </w:rPr>
              <w:t>9</w:t>
            </w:r>
          </w:p>
        </w:tc>
        <w:tc>
          <w:tcPr>
            <w:tcW w:w="3415" w:type="dxa"/>
            <w:noWrap w:val="0"/>
            <w:vAlign w:val="center"/>
          </w:tcPr>
          <w:p w14:paraId="1C53D4AB">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司法鉴定机构受到停业或者吊销许可证件的处罚的，根据《广东省司法鉴定管理条例》规定对机构负责人的行政处罚</w:t>
            </w:r>
          </w:p>
        </w:tc>
        <w:tc>
          <w:tcPr>
            <w:tcW w:w="804" w:type="dxa"/>
            <w:noWrap w:val="0"/>
            <w:vAlign w:val="center"/>
          </w:tcPr>
          <w:p w14:paraId="38AA7E0E">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行政处罚</w:t>
            </w:r>
          </w:p>
        </w:tc>
        <w:tc>
          <w:tcPr>
            <w:tcW w:w="1462" w:type="dxa"/>
            <w:noWrap w:val="0"/>
            <w:vAlign w:val="center"/>
          </w:tcPr>
          <w:p w14:paraId="646DA48E">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省司法厅</w:t>
            </w:r>
          </w:p>
        </w:tc>
        <w:tc>
          <w:tcPr>
            <w:tcW w:w="1590" w:type="dxa"/>
            <w:noWrap w:val="0"/>
            <w:vAlign w:val="center"/>
          </w:tcPr>
          <w:p w14:paraId="460FC6EA">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深圳市司法局</w:t>
            </w:r>
          </w:p>
        </w:tc>
        <w:tc>
          <w:tcPr>
            <w:tcW w:w="1961" w:type="dxa"/>
            <w:noWrap w:val="0"/>
            <w:vAlign w:val="center"/>
          </w:tcPr>
          <w:p w14:paraId="119C8D03">
            <w:pPr>
              <w:spacing w:line="360" w:lineRule="exact"/>
              <w:rPr>
                <w:rFonts w:ascii="Times New Roman" w:hAnsi="Times New Roman" w:eastAsia="仿宋_GB2312"/>
                <w:color w:val="000000"/>
                <w:kern w:val="21"/>
                <w:sz w:val="28"/>
                <w:szCs w:val="28"/>
              </w:rPr>
            </w:pPr>
          </w:p>
        </w:tc>
      </w:tr>
      <w:tr w14:paraId="0F74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823" w:type="dxa"/>
            <w:noWrap w:val="0"/>
            <w:vAlign w:val="center"/>
          </w:tcPr>
          <w:p w14:paraId="1AD465C4">
            <w:pPr>
              <w:spacing w:line="360" w:lineRule="exact"/>
              <w:jc w:val="center"/>
              <w:rPr>
                <w:rFonts w:ascii="Times New Roman" w:hAnsi="Times New Roman" w:eastAsia="仿宋_GB2312"/>
                <w:color w:val="000000"/>
                <w:kern w:val="21"/>
                <w:sz w:val="28"/>
                <w:szCs w:val="28"/>
              </w:rPr>
            </w:pPr>
            <w:r>
              <w:rPr>
                <w:rFonts w:hint="eastAsia" w:ascii="Times New Roman" w:hAnsi="Times New Roman"/>
                <w:color w:val="000000"/>
                <w:kern w:val="21"/>
                <w:sz w:val="28"/>
                <w:szCs w:val="28"/>
              </w:rPr>
              <w:t>20</w:t>
            </w:r>
          </w:p>
        </w:tc>
        <w:tc>
          <w:tcPr>
            <w:tcW w:w="3415" w:type="dxa"/>
            <w:noWrap w:val="0"/>
            <w:vAlign w:val="center"/>
          </w:tcPr>
          <w:p w14:paraId="6944041B">
            <w:pPr>
              <w:spacing w:line="360" w:lineRule="exac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职业健康检查机构备案</w:t>
            </w:r>
          </w:p>
        </w:tc>
        <w:tc>
          <w:tcPr>
            <w:tcW w:w="804" w:type="dxa"/>
            <w:noWrap w:val="0"/>
            <w:vAlign w:val="center"/>
          </w:tcPr>
          <w:p w14:paraId="0A1A854F">
            <w:pPr>
              <w:spacing w:line="360" w:lineRule="exact"/>
              <w:jc w:val="center"/>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其他行政权力</w:t>
            </w:r>
          </w:p>
        </w:tc>
        <w:tc>
          <w:tcPr>
            <w:tcW w:w="1462" w:type="dxa"/>
            <w:noWrap w:val="0"/>
            <w:vAlign w:val="center"/>
          </w:tcPr>
          <w:p w14:paraId="23BED890">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省卫生健康委</w:t>
            </w:r>
          </w:p>
        </w:tc>
        <w:tc>
          <w:tcPr>
            <w:tcW w:w="1590" w:type="dxa"/>
            <w:noWrap w:val="0"/>
            <w:vAlign w:val="center"/>
          </w:tcPr>
          <w:p w14:paraId="53DEFCA0">
            <w:pPr>
              <w:spacing w:line="360" w:lineRule="exact"/>
              <w:jc w:val="left"/>
              <w:rPr>
                <w:rFonts w:ascii="Times New Roman" w:hAnsi="Times New Roman" w:eastAsia="仿宋_GB2312"/>
                <w:color w:val="000000"/>
                <w:kern w:val="21"/>
                <w:sz w:val="28"/>
                <w:szCs w:val="28"/>
              </w:rPr>
            </w:pPr>
            <w:r>
              <w:rPr>
                <w:rFonts w:ascii="Times New Roman" w:hAnsi="Times New Roman" w:eastAsia="仿宋_GB2312"/>
                <w:color w:val="000000"/>
                <w:kern w:val="21"/>
                <w:sz w:val="28"/>
                <w:szCs w:val="28"/>
              </w:rPr>
              <w:t>深圳市卫生健康委</w:t>
            </w:r>
          </w:p>
        </w:tc>
        <w:tc>
          <w:tcPr>
            <w:tcW w:w="1961" w:type="dxa"/>
            <w:noWrap w:val="0"/>
            <w:vAlign w:val="center"/>
          </w:tcPr>
          <w:p w14:paraId="1FAB212A">
            <w:pPr>
              <w:spacing w:line="360" w:lineRule="exact"/>
              <w:rPr>
                <w:rFonts w:ascii="Times New Roman" w:hAnsi="Times New Roman" w:eastAsia="仿宋_GB2312"/>
                <w:color w:val="000000"/>
                <w:kern w:val="21"/>
                <w:sz w:val="28"/>
                <w:szCs w:val="28"/>
              </w:rPr>
            </w:pPr>
          </w:p>
        </w:tc>
      </w:tr>
    </w:tbl>
    <w:p w14:paraId="2BBDEFCA">
      <w:pPr>
        <w:spacing w:line="600" w:lineRule="exact"/>
      </w:pPr>
    </w:p>
    <w:p w14:paraId="2BA3C766"/>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D189">
    <w:pPr>
      <w:pStyle w:val="3"/>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9 -</w:t>
    </w:r>
    <w:r>
      <w:rPr>
        <w:rFonts w:hint="eastAsia" w:ascii="仿宋_GB2312" w:eastAsia="仿宋_GB2312"/>
        <w:sz w:val="28"/>
        <w:szCs w:val="28"/>
      </w:rPr>
      <w:fldChar w:fldCharType="end"/>
    </w:r>
  </w:p>
  <w:p w14:paraId="711898D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8E54">
    <w:pPr>
      <w:pStyle w:val="3"/>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10 -</w:t>
    </w:r>
    <w:r>
      <w:rPr>
        <w:rFonts w:hint="eastAsia" w:ascii="仿宋_GB2312" w:eastAsia="仿宋_GB2312"/>
        <w:sz w:val="28"/>
        <w:szCs w:val="28"/>
      </w:rPr>
      <w:fldChar w:fldCharType="end"/>
    </w:r>
  </w:p>
  <w:p w14:paraId="117BDBC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21504"/>
    <w:rsid w:val="2CA31C87"/>
    <w:rsid w:val="58221504"/>
    <w:rsid w:val="5C4A6710"/>
    <w:rsid w:val="7563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Default"/>
    <w:next w:val="1"/>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2025-11-02T02:04:00Z</dcterms:created>
  <dc:creator>Snail  walk(慢节奏)</dc:creator>
  <cp:lastModifiedBy>Snail  walk(慢节奏)</cp:lastModifiedBy>
  <dcterms:modified xsi:type="dcterms:W3CDTF">2025-11-02T02:04:45Z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636D6A9D1F7B49F2B812545097FCA2EE_11</vt:lpwstr>
  </property>
  <property fmtid="{D5CDD505-2E9C-101B-9397-08002B2CF9AE}" pid="4" name="KSOTemplateDocerSaveRecord">
    <vt:lpwstr>eyJoZGlkIjoiNjhiNDRiNWYxMDFiOTQyODI0OWNhNWYxM2ZmNmI5ZWEiLCJ1c2VySWQiOiIyMDg5MDI1NTYifQ==</vt:lpwstr>
  </property>
</Properties>
</file>