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051"/>
        <w:gridCol w:w="1778"/>
        <w:gridCol w:w="7"/>
        <w:gridCol w:w="2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司法部“致敬战疫英雄”征文活动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作品登记表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作品体裁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（纪实故事/散文/诗歌/随笔/书信）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t>作品简介</w:t>
            </w:r>
            <w:r>
              <w:rPr>
                <w:rStyle w:val="4"/>
                <w:rFonts w:hint="eastAsia" w:ascii="仿宋" w:hAnsi="仿宋" w:eastAsia="仿宋" w:cs="仿宋"/>
                <w:color w:val="auto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（200字以内）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作者职位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作者电话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原创承诺</w:t>
            </w:r>
          </w:p>
        </w:tc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本人承诺对投稿作品拥有独立、完整、明确、无争议的著作权，保证不侵犯第三人包括著作权、肖像权、名誉权、隐私权等在内的合法权益。如有侵权行为，责任均由本人自行承担。 </w:t>
            </w: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承诺人              年   月   日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</w:t>
            </w:r>
          </w:p>
        </w:tc>
      </w:tr>
    </w:tbl>
    <w:p>
      <w:r>
        <w:rPr>
          <w:rFonts w:hint="eastAsia" w:ascii="仿宋" w:hAnsi="仿宋" w:eastAsia="仿宋" w:cs="仿宋"/>
          <w:color w:val="auto"/>
        </w:rPr>
        <w:t>备注：业务类别指全面依法治国及司法行政工作业务，包括立法、监狱、社区矫正、戒毒、行政复议、行政执法监督、普法、人民调解、基层法律服务、公证、法律援助、司法鉴定、仲裁、律师、法考等。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0C75"/>
    <w:rsid w:val="053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808080"/>
      <w:sz w:val="28"/>
      <w:szCs w:val="28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2020-07-02T07:09:00Z</dcterms:created>
  <dc:creator>zeng</dc:creator>
  <cp:lastModifiedBy>zeng</cp:lastModifiedBy>
  <dcterms:modified xsi:type="dcterms:W3CDTF">2020-07-02T07:11:00Z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