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bookmarkEnd w:id="0"/>
      <w:r>
        <w:rPr>
          <w:rFonts w:hint="eastAsia" w:ascii="仿宋" w:hAnsi="仿宋" w:eastAsia="仿宋"/>
          <w:sz w:val="32"/>
          <w:szCs w:val="32"/>
        </w:rPr>
        <w:t>附件</w:t>
      </w:r>
      <w:r>
        <w:rPr>
          <w:rFonts w:ascii="仿宋" w:hAnsi="仿宋" w:eastAsia="仿宋"/>
          <w:sz w:val="32"/>
          <w:szCs w:val="32"/>
        </w:rPr>
        <w:t>5</w:t>
      </w:r>
      <w:r>
        <w:rPr>
          <w:rFonts w:hint="eastAsia" w:ascii="仿宋" w:hAnsi="仿宋" w:eastAsia="仿宋"/>
          <w:sz w:val="32"/>
          <w:szCs w:val="32"/>
        </w:rPr>
        <w:t>：</w:t>
      </w:r>
    </w:p>
    <w:p>
      <w:pPr>
        <w:rPr>
          <w:rFonts w:ascii="仿宋" w:hAnsi="仿宋" w:eastAsia="仿宋"/>
        </w:rPr>
      </w:pPr>
    </w:p>
    <w:p>
      <w:pPr>
        <w:jc w:val="center"/>
        <w:rPr>
          <w:rFonts w:ascii="宋体" w:hAnsi="宋体" w:eastAsia="宋体" w:cs="宋体"/>
          <w:sz w:val="44"/>
          <w:szCs w:val="44"/>
        </w:rPr>
      </w:pPr>
      <w:r>
        <w:rPr>
          <w:rFonts w:hint="eastAsia" w:ascii="宋体" w:hAnsi="宋体" w:eastAsia="宋体" w:cs="宋体"/>
          <w:sz w:val="44"/>
          <w:szCs w:val="44"/>
        </w:rPr>
        <w:t>环境损害司法鉴定机构登记评审工作方案</w:t>
      </w:r>
    </w:p>
    <w:p>
      <w:pPr>
        <w:jc w:val="center"/>
        <w:rPr>
          <w:rFonts w:ascii="楷体" w:hAnsi="楷体" w:eastAsia="楷体" w:cs="楷体"/>
          <w:sz w:val="32"/>
          <w:szCs w:val="32"/>
        </w:rPr>
      </w:pPr>
      <w:r>
        <w:rPr>
          <w:rFonts w:hint="eastAsia" w:ascii="楷体" w:hAnsi="楷体" w:eastAsia="楷体" w:cs="楷体"/>
          <w:sz w:val="32"/>
          <w:szCs w:val="32"/>
        </w:rPr>
        <w:t>（</w:t>
      </w:r>
      <w:r>
        <w:rPr>
          <w:rFonts w:ascii="楷体" w:hAnsi="楷体" w:eastAsia="楷体" w:cs="楷体"/>
          <w:sz w:val="32"/>
          <w:szCs w:val="32"/>
        </w:rPr>
        <w:t>参考模板</w:t>
      </w:r>
      <w:r>
        <w:rPr>
          <w:rFonts w:hint="eastAsia" w:ascii="楷体" w:hAnsi="楷体" w:eastAsia="楷体" w:cs="楷体"/>
          <w:sz w:val="32"/>
          <w:szCs w:val="32"/>
        </w:rPr>
        <w:t>）</w:t>
      </w:r>
    </w:p>
    <w:p>
      <w:pPr>
        <w:spacing w:afterLines="50"/>
        <w:ind w:firstLine="640" w:firstLineChars="200"/>
        <w:jc w:val="left"/>
        <w:outlineLvl w:val="0"/>
        <w:rPr>
          <w:rFonts w:ascii="宋体" w:hAnsi="宋体" w:eastAsia="宋体" w:cs="宋体"/>
          <w:sz w:val="32"/>
          <w:szCs w:val="32"/>
        </w:rPr>
      </w:pPr>
    </w:p>
    <w:p>
      <w:pPr>
        <w:spacing w:afterLines="50"/>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一、申请机构名称及执业类别</w:t>
      </w:r>
    </w:p>
    <w:p>
      <w:pPr>
        <w:rPr>
          <w:rFonts w:ascii="Times New Roman" w:hAnsi="Times New Roman" w:eastAsia="宋体" w:cs="Times New Roman"/>
          <w:sz w:val="32"/>
          <w:szCs w:val="32"/>
        </w:rPr>
      </w:pPr>
    </w:p>
    <w:p>
      <w:pPr>
        <w:spacing w:afterLines="50"/>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二、评审组织单位</w:t>
      </w:r>
    </w:p>
    <w:p>
      <w:pPr>
        <w:rPr>
          <w:rFonts w:ascii="Times New Roman" w:hAnsi="Times New Roman" w:eastAsia="宋体" w:cs="Times New Roman"/>
          <w:sz w:val="32"/>
          <w:szCs w:val="32"/>
        </w:rPr>
      </w:pPr>
    </w:p>
    <w:p>
      <w:pPr>
        <w:spacing w:afterLines="50"/>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三、评审工作组人员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评审专家组组长：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评审专家组成员：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工作人员：</w:t>
      </w:r>
    </w:p>
    <w:p>
      <w:pPr>
        <w:rPr>
          <w:rFonts w:ascii="Times New Roman" w:hAnsi="Times New Roman" w:eastAsia="宋体" w:cs="Times New Roman"/>
          <w:sz w:val="32"/>
          <w:szCs w:val="32"/>
        </w:rPr>
      </w:pPr>
    </w:p>
    <w:p>
      <w:pPr>
        <w:spacing w:afterLines="50"/>
        <w:ind w:firstLine="640" w:firstLineChars="200"/>
        <w:jc w:val="left"/>
        <w:outlineLvl w:val="0"/>
        <w:rPr>
          <w:rFonts w:ascii="黑体" w:hAnsi="黑体" w:eastAsia="黑体" w:cs="黑体"/>
          <w:sz w:val="32"/>
          <w:szCs w:val="32"/>
        </w:rPr>
      </w:pPr>
      <w:r>
        <w:rPr>
          <w:rFonts w:ascii="黑体" w:hAnsi="黑体" w:eastAsia="黑体" w:cs="黑体"/>
          <w:sz w:val="32"/>
          <w:szCs w:val="32"/>
        </w:rPr>
        <w:t>四、评审时间</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X年X月X日至X年X月X日</w:t>
      </w:r>
    </w:p>
    <w:p>
      <w:pPr>
        <w:spacing w:line="360" w:lineRule="auto"/>
        <w:ind w:firstLine="640" w:firstLineChars="200"/>
        <w:rPr>
          <w:rFonts w:ascii="Times New Roman" w:hAnsi="Times New Roman" w:eastAsia="宋体" w:cs="Times New Roman"/>
          <w:sz w:val="32"/>
          <w:szCs w:val="32"/>
        </w:rPr>
      </w:pPr>
    </w:p>
    <w:p>
      <w:pPr>
        <w:spacing w:afterLines="50"/>
        <w:ind w:firstLine="640" w:firstLineChars="200"/>
        <w:jc w:val="left"/>
        <w:outlineLvl w:val="0"/>
        <w:rPr>
          <w:rFonts w:ascii="黑体" w:hAnsi="黑体" w:eastAsia="黑体" w:cs="黑体"/>
          <w:sz w:val="32"/>
          <w:szCs w:val="32"/>
        </w:rPr>
      </w:pPr>
      <w:r>
        <w:rPr>
          <w:rFonts w:ascii="黑体" w:hAnsi="黑体" w:eastAsia="黑体" w:cs="黑体"/>
          <w:sz w:val="32"/>
          <w:szCs w:val="32"/>
        </w:rPr>
        <w:t>五、评审程序</w:t>
      </w:r>
      <w:r>
        <w:rPr>
          <w:rFonts w:hint="eastAsia" w:ascii="黑体" w:hAnsi="黑体" w:eastAsia="黑体" w:cs="黑体"/>
          <w:sz w:val="32"/>
          <w:szCs w:val="32"/>
        </w:rPr>
        <w:t>和内容</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（一）评阅申请机构申报资料</w:t>
      </w:r>
    </w:p>
    <w:p>
      <w:pPr>
        <w:spacing w:line="360" w:lineRule="auto"/>
        <w:ind w:firstLine="640" w:firstLineChars="200"/>
        <w:rPr>
          <w:rFonts w:ascii="仿宋" w:hAnsi="仿宋" w:eastAsia="仿宋" w:cs="Times New Roman"/>
          <w:sz w:val="32"/>
          <w:szCs w:val="32"/>
        </w:rPr>
        <w:sectPr>
          <w:footerReference r:id="rId3" w:type="default"/>
          <w:pgSz w:w="11906" w:h="16838"/>
          <w:pgMar w:top="1440" w:right="1800" w:bottom="1440" w:left="1800" w:header="851" w:footer="992" w:gutter="0"/>
          <w:pgNumType w:start="40"/>
          <w:cols w:space="425" w:num="1"/>
          <w:docGrid w:type="lines" w:linePitch="312" w:charSpace="0"/>
        </w:sectPr>
      </w:pPr>
      <w:r>
        <w:rPr>
          <w:rFonts w:hint="eastAsia" w:ascii="仿宋" w:hAnsi="仿宋" w:eastAsia="仿宋" w:cs="Times New Roman"/>
          <w:sz w:val="32"/>
          <w:szCs w:val="32"/>
        </w:rPr>
        <w:t>查看申请机构提交的已完成的工作成果、合同等，统计申请机构已完成的环境损害鉴定评估项目数量，按照附件1</w:t>
      </w:r>
    </w:p>
    <w:p>
      <w:pPr>
        <w:spacing w:line="360" w:lineRule="auto"/>
        <w:ind w:firstLine="0" w:firstLineChars="0"/>
        <w:rPr>
          <w:rFonts w:ascii="仿宋" w:hAnsi="仿宋" w:eastAsia="仿宋" w:cs="Times New Roman"/>
          <w:sz w:val="32"/>
          <w:szCs w:val="32"/>
        </w:rPr>
      </w:pPr>
      <w:r>
        <w:rPr>
          <w:rFonts w:hint="eastAsia" w:ascii="仿宋" w:hAnsi="仿宋" w:eastAsia="仿宋" w:cs="Times New Roman"/>
          <w:sz w:val="32"/>
          <w:szCs w:val="32"/>
        </w:rPr>
        <w:t>表（一）第二项技术水平中“鉴定评估项目数量”一栏的评分标准进行打分。查阅申请机构已完成的鉴定评估项目报告和相关工作成果，评估成果质量，按照附件1表（一）第二项技术水平中“鉴定评估项目与相关工作成果完成质量”一栏的评分标准进行打分。</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（二）评阅鉴定人资料</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对服务于鉴定机构、有聘用关系的鉴定人进行打分。环境损害司法鉴定人应当在一个环境损害司法鉴定机构中执业。</w:t>
      </w:r>
    </w:p>
    <w:p>
      <w:pPr>
        <w:spacing w:line="360" w:lineRule="auto"/>
        <w:ind w:firstLine="600"/>
        <w:rPr>
          <w:rFonts w:ascii="仿宋" w:hAnsi="仿宋" w:eastAsia="仿宋" w:cs="Times New Roman"/>
          <w:sz w:val="32"/>
          <w:szCs w:val="32"/>
        </w:rPr>
      </w:pPr>
      <w:r>
        <w:rPr>
          <w:rFonts w:hint="eastAsia" w:ascii="仿宋" w:hAnsi="仿宋" w:eastAsia="仿宋" w:cs="Times New Roman"/>
          <w:sz w:val="32"/>
          <w:szCs w:val="32"/>
        </w:rPr>
        <w:t>1.依据申请机构申请的鉴定类别和鉴定人数量、专业，按照附件1表（一）第一项“环境损害司法鉴定人构成”的评分标准进行打分。对鉴定人的专业要求包括学历和职称所涉及的专业。</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2.逐一查阅申请机构中每个鉴定人的申请资料</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查阅申请人提交的</w:t>
      </w:r>
      <w:r>
        <w:rPr>
          <w:rFonts w:hint="eastAsia" w:ascii="仿宋" w:hAnsi="仿宋" w:eastAsia="仿宋" w:cs="Times New Roman"/>
          <w:sz w:val="32"/>
          <w:szCs w:val="32"/>
        </w:rPr>
        <w:t>证书、证明、</w:t>
      </w:r>
      <w:r>
        <w:rPr>
          <w:rFonts w:ascii="仿宋" w:hAnsi="仿宋" w:eastAsia="仿宋" w:cs="Times New Roman"/>
          <w:sz w:val="32"/>
          <w:szCs w:val="32"/>
        </w:rPr>
        <w:t>环境损害鉴定评估相关项目与其他工作成果</w:t>
      </w:r>
      <w:r>
        <w:rPr>
          <w:rFonts w:hint="eastAsia" w:ascii="仿宋" w:hAnsi="仿宋" w:eastAsia="仿宋" w:cs="Times New Roman"/>
          <w:sz w:val="32"/>
          <w:szCs w:val="32"/>
        </w:rPr>
        <w:t>等申请资料。按照附件1表（二）的评分标准进行打分。其中表（二）第三项“工作能力”中的“专业技术能力”一栏，通过查阅鉴定人完成的环境损害鉴定评估项目相关资料打分。专家组应按照申请人的申请执业类别和附件2“环境损害司法鉴定机构和人员专业能力要求”，以申请人提供的相关鉴定评估项目报告与研究成果章节为依据，对鉴定人在申请领域某环节的专业程度进行评分，每个申请领域所涉及的主要技术环节包括</w:t>
      </w:r>
      <w:r>
        <w:rPr>
          <w:rFonts w:ascii="仿宋" w:hAnsi="仿宋" w:eastAsia="仿宋" w:cs="Times New Roman"/>
          <w:sz w:val="32"/>
          <w:szCs w:val="32"/>
        </w:rPr>
        <w:t>污染物来源分析、</w:t>
      </w:r>
      <w:r>
        <w:rPr>
          <w:rFonts w:hint="eastAsia" w:ascii="仿宋" w:hAnsi="仿宋" w:eastAsia="仿宋" w:cs="Times New Roman"/>
          <w:sz w:val="32"/>
          <w:szCs w:val="32"/>
        </w:rPr>
        <w:t>污染物性质或物种类别判定、</w:t>
      </w:r>
      <w:r>
        <w:rPr>
          <w:rFonts w:ascii="仿宋" w:hAnsi="仿宋" w:eastAsia="仿宋" w:cs="Times New Roman"/>
          <w:sz w:val="32"/>
          <w:szCs w:val="32"/>
        </w:rPr>
        <w:t>鉴定方案编制、因果关系分析、损害实物量化、恢复方案设计与价值量化等</w:t>
      </w:r>
      <w:r>
        <w:rPr>
          <w:rFonts w:hint="eastAsia" w:ascii="仿宋" w:hAnsi="仿宋" w:eastAsia="仿宋" w:cs="Times New Roman"/>
          <w:sz w:val="32"/>
          <w:szCs w:val="32"/>
        </w:rPr>
        <w:t>方面，要求鉴定人至少</w:t>
      </w:r>
      <w:r>
        <w:rPr>
          <w:rFonts w:ascii="仿宋" w:hAnsi="仿宋" w:eastAsia="仿宋" w:cs="Times New Roman"/>
          <w:sz w:val="32"/>
          <w:szCs w:val="32"/>
        </w:rPr>
        <w:t>具备</w:t>
      </w:r>
      <w:r>
        <w:rPr>
          <w:rFonts w:hint="eastAsia" w:ascii="仿宋" w:hAnsi="仿宋" w:eastAsia="仿宋" w:cs="Times New Roman"/>
          <w:sz w:val="32"/>
          <w:szCs w:val="32"/>
        </w:rPr>
        <w:t>上述</w:t>
      </w:r>
      <w:r>
        <w:rPr>
          <w:rFonts w:ascii="仿宋" w:hAnsi="仿宋" w:eastAsia="仿宋" w:cs="Times New Roman"/>
          <w:sz w:val="32"/>
          <w:szCs w:val="32"/>
        </w:rPr>
        <w:t>一方面</w:t>
      </w:r>
      <w:r>
        <w:rPr>
          <w:rFonts w:hint="eastAsia" w:ascii="仿宋" w:hAnsi="仿宋" w:eastAsia="仿宋" w:cs="Times New Roman"/>
          <w:sz w:val="32"/>
          <w:szCs w:val="32"/>
        </w:rPr>
        <w:t>的</w:t>
      </w:r>
      <w:r>
        <w:rPr>
          <w:rFonts w:ascii="仿宋" w:hAnsi="仿宋" w:eastAsia="仿宋" w:cs="Times New Roman"/>
          <w:sz w:val="32"/>
          <w:szCs w:val="32"/>
        </w:rPr>
        <w:t>能力</w:t>
      </w:r>
      <w:r>
        <w:rPr>
          <w:rFonts w:hint="eastAsia" w:ascii="仿宋" w:hAnsi="仿宋" w:eastAsia="仿宋" w:cs="Times New Roman"/>
          <w:sz w:val="32"/>
          <w:szCs w:val="32"/>
        </w:rPr>
        <w:t>，对于具有上述多方面鉴定能力的鉴定人，可适当加分。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3.计算申请机构鉴定人得分的算数平均分，按照附件1第二项“技术水平”中“鉴定人能力”一栏的评分标准进行打分。</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（三）考查申请机构实验室条件</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环境损害司法鉴定机构必须配备实验室作为开展环境损害鉴定工作的必要场所，实验室须通过中国计量认证（</w:t>
      </w:r>
      <w:r>
        <w:rPr>
          <w:rFonts w:ascii="仿宋" w:hAnsi="仿宋" w:eastAsia="仿宋" w:cs="Times New Roman"/>
          <w:sz w:val="32"/>
          <w:szCs w:val="32"/>
        </w:rPr>
        <w:t>CMA）</w:t>
      </w:r>
      <w:r>
        <w:rPr>
          <w:rFonts w:hint="eastAsia" w:ascii="仿宋" w:hAnsi="仿宋" w:eastAsia="仿宋" w:cs="Times New Roman"/>
          <w:sz w:val="32"/>
          <w:szCs w:val="32"/>
        </w:rPr>
        <w:t>或</w:t>
      </w:r>
      <w:r>
        <w:rPr>
          <w:rFonts w:ascii="仿宋" w:hAnsi="仿宋" w:eastAsia="仿宋" w:cs="Times New Roman"/>
          <w:sz w:val="32"/>
          <w:szCs w:val="32"/>
        </w:rPr>
        <w:t>中国合格评定国家认可委员会（CNAS）</w:t>
      </w:r>
      <w:r>
        <w:rPr>
          <w:rFonts w:hint="eastAsia" w:ascii="仿宋" w:hAnsi="仿宋" w:eastAsia="仿宋" w:cs="Times New Roman"/>
          <w:sz w:val="32"/>
          <w:szCs w:val="32"/>
        </w:rPr>
        <w:t>认可</w:t>
      </w:r>
      <w:r>
        <w:rPr>
          <w:rFonts w:ascii="仿宋" w:hAnsi="仿宋" w:eastAsia="仿宋" w:cs="Times New Roman"/>
          <w:sz w:val="32"/>
          <w:szCs w:val="32"/>
        </w:rPr>
        <w:t>或良好实验室规范（GLP）认证。</w:t>
      </w:r>
      <w:r>
        <w:rPr>
          <w:rFonts w:hint="eastAsia" w:ascii="仿宋" w:hAnsi="仿宋" w:eastAsia="仿宋" w:cs="Times New Roman"/>
          <w:sz w:val="32"/>
          <w:szCs w:val="32"/>
        </w:rPr>
        <w:t>申请机构实验室不具备以上条件的，取消评审资格。</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1.查阅申请机构的实验室资质证书、文件等，按照附件1第三项“实验室条件”中“实验室资质”一栏的评分标准进行打分。</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根据申请机构所申请的环境损害司法鉴定类别，对照附件3</w:t>
      </w:r>
      <w:r>
        <w:rPr>
          <w:rFonts w:ascii="仿宋" w:hAnsi="仿宋" w:eastAsia="仿宋" w:cs="Times New Roman"/>
          <w:sz w:val="32"/>
          <w:szCs w:val="32"/>
        </w:rPr>
        <w:t>“</w:t>
      </w:r>
      <w:r>
        <w:rPr>
          <w:rFonts w:hint="eastAsia" w:ascii="仿宋" w:hAnsi="仿宋" w:eastAsia="仿宋" w:cs="Times New Roman"/>
          <w:sz w:val="32"/>
          <w:szCs w:val="32"/>
        </w:rPr>
        <w:t>环境损害司法鉴定机构实验室和仪器设备配置要求</w:t>
      </w:r>
      <w:r>
        <w:rPr>
          <w:rFonts w:ascii="仿宋" w:hAnsi="仿宋" w:eastAsia="仿宋" w:cs="Times New Roman"/>
          <w:sz w:val="32"/>
          <w:szCs w:val="32"/>
        </w:rPr>
        <w:t>”</w:t>
      </w:r>
      <w:r>
        <w:rPr>
          <w:rFonts w:hint="eastAsia" w:ascii="仿宋" w:hAnsi="仿宋" w:eastAsia="仿宋" w:cs="Times New Roman"/>
          <w:sz w:val="32"/>
          <w:szCs w:val="32"/>
        </w:rPr>
        <w:t>中的相应类别，查看实验室的基础设施条件和维护情况，核对必配仪器是否配置，选配仪器的配置数量等，按照附表1第三项“实验室条件”中“仪器配置及使用情况”的评分标准进行打分。</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（四）现场考核</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评审专家组认为申请材料不足以证明其专业技术能力的</w:t>
      </w:r>
      <w:r>
        <w:rPr>
          <w:rFonts w:ascii="仿宋" w:hAnsi="仿宋" w:eastAsia="仿宋" w:cs="Times New Roman"/>
          <w:sz w:val="32"/>
          <w:szCs w:val="32"/>
        </w:rPr>
        <w:t>，可采用现场交流、口试、答辩考核</w:t>
      </w:r>
      <w:r>
        <w:rPr>
          <w:rFonts w:hint="eastAsia" w:ascii="仿宋" w:hAnsi="仿宋" w:eastAsia="仿宋" w:cs="Times New Roman"/>
          <w:sz w:val="32"/>
          <w:szCs w:val="32"/>
        </w:rPr>
        <w:t>等</w:t>
      </w:r>
      <w:r>
        <w:rPr>
          <w:rFonts w:ascii="仿宋" w:hAnsi="仿宋" w:eastAsia="仿宋" w:cs="Times New Roman"/>
          <w:sz w:val="32"/>
          <w:szCs w:val="32"/>
        </w:rPr>
        <w:t>形式，对</w:t>
      </w:r>
      <w:r>
        <w:rPr>
          <w:rFonts w:hint="eastAsia" w:ascii="仿宋" w:hAnsi="仿宋" w:eastAsia="仿宋" w:cs="Times New Roman"/>
          <w:sz w:val="32"/>
          <w:szCs w:val="32"/>
        </w:rPr>
        <w:t>申请机构及其鉴定</w:t>
      </w:r>
      <w:r>
        <w:rPr>
          <w:rFonts w:ascii="仿宋" w:hAnsi="仿宋" w:eastAsia="仿宋" w:cs="Times New Roman"/>
          <w:sz w:val="32"/>
          <w:szCs w:val="32"/>
        </w:rPr>
        <w:t>人的专业能力进行</w:t>
      </w:r>
      <w:r>
        <w:rPr>
          <w:rFonts w:hint="eastAsia" w:ascii="仿宋" w:hAnsi="仿宋" w:eastAsia="仿宋" w:cs="Times New Roman"/>
          <w:sz w:val="32"/>
          <w:szCs w:val="32"/>
        </w:rPr>
        <w:t>现场</w:t>
      </w:r>
      <w:r>
        <w:rPr>
          <w:rFonts w:ascii="仿宋" w:hAnsi="仿宋" w:eastAsia="仿宋" w:cs="Times New Roman"/>
          <w:sz w:val="32"/>
          <w:szCs w:val="32"/>
        </w:rPr>
        <w:t>考核，综合评定</w:t>
      </w:r>
      <w:r>
        <w:rPr>
          <w:rFonts w:hint="eastAsia" w:ascii="仿宋" w:hAnsi="仿宋" w:eastAsia="仿宋" w:cs="Times New Roman"/>
          <w:sz w:val="32"/>
          <w:szCs w:val="32"/>
        </w:rPr>
        <w:t>其专业技术能力</w:t>
      </w:r>
      <w:r>
        <w:rPr>
          <w:rFonts w:ascii="仿宋" w:hAnsi="仿宋" w:eastAsia="仿宋" w:cs="Times New Roman"/>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评审组织单位应根据专家组的要求，组织相关人员参加现场考核并做好记录。</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（五）汇总得分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每位评审专家分别对附件1表（一）、表（二）各项目进行打分并得出总分。根据各个专家的打分结果，计算附件1表（一）总分的算术平均分，得出申请机构的最终得分。</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（六）撰写评审意见书</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按照附件4“环境损害司法鉴定机构专家评审意见书”要求撰写评审意见书。</w:t>
      </w:r>
    </w:p>
    <w:p>
      <w:pPr>
        <w:spacing w:line="360" w:lineRule="auto"/>
        <w:ind w:firstLine="640" w:firstLineChars="200"/>
        <w:rPr>
          <w:rFonts w:ascii="仿宋" w:hAnsi="仿宋" w:eastAsia="仿宋" w:cs="Times New Roman"/>
          <w:sz w:val="32"/>
          <w:szCs w:val="32"/>
        </w:rPr>
      </w:pPr>
      <w:r>
        <w:rPr>
          <w:rFonts w:hint="eastAsia" w:ascii="仿宋_GB2312" w:hAnsi="华文中宋" w:eastAsia="仿宋_GB2312"/>
          <w:sz w:val="32"/>
          <w:szCs w:val="32"/>
        </w:rPr>
        <w:t>评审意见中应明确适</w:t>
      </w:r>
      <w:r>
        <w:rPr>
          <w:rFonts w:ascii="仿宋_GB2312" w:hAnsi="华文中宋" w:eastAsia="仿宋_GB2312"/>
          <w:sz w:val="32"/>
          <w:szCs w:val="32"/>
        </w:rPr>
        <w:t>合从事的具体环境损害司法鉴定执业类别，如某机构适合从事物种鉴</w:t>
      </w:r>
      <w:r>
        <w:rPr>
          <w:rFonts w:hint="eastAsia" w:ascii="仿宋_GB2312" w:hAnsi="华文中宋" w:eastAsia="仿宋_GB2312"/>
          <w:sz w:val="32"/>
          <w:szCs w:val="32"/>
        </w:rPr>
        <w:t>定</w:t>
      </w:r>
      <w:r>
        <w:rPr>
          <w:rFonts w:ascii="仿宋_GB2312" w:hAnsi="华文中宋" w:eastAsia="仿宋_GB2312"/>
          <w:sz w:val="32"/>
          <w:szCs w:val="32"/>
        </w:rPr>
        <w:t>的，可以给出“适合从事生态系统环境损害鉴定（动物/植物/昆虫物种鉴</w:t>
      </w:r>
      <w:r>
        <w:rPr>
          <w:rFonts w:hint="eastAsia" w:ascii="仿宋_GB2312" w:hAnsi="华文中宋" w:eastAsia="仿宋_GB2312"/>
          <w:sz w:val="32"/>
          <w:szCs w:val="32"/>
        </w:rPr>
        <w:t>定</w:t>
      </w:r>
      <w:r>
        <w:rPr>
          <w:rFonts w:ascii="仿宋_GB2312" w:hAnsi="华文中宋" w:eastAsia="仿宋_GB2312"/>
          <w:sz w:val="32"/>
          <w:szCs w:val="32"/>
        </w:rPr>
        <w:t>）</w:t>
      </w:r>
      <w:r>
        <w:rPr>
          <w:rFonts w:hint="eastAsia" w:ascii="仿宋_GB2312" w:hAnsi="华文中宋" w:eastAsia="仿宋_GB2312"/>
          <w:sz w:val="32"/>
          <w:szCs w:val="32"/>
        </w:rPr>
        <w:t>业务”的评审意见。</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六、人员分工</w:t>
      </w:r>
    </w:p>
    <w:p>
      <w:pPr>
        <w:spacing w:line="360" w:lineRule="auto"/>
        <w:ind w:firstLine="640" w:firstLineChars="200"/>
        <w:rPr>
          <w:rFonts w:ascii="仿宋_GB2312" w:hAnsi="华文中宋" w:eastAsia="仿宋_GB2312"/>
          <w:sz w:val="32"/>
          <w:szCs w:val="32"/>
        </w:rPr>
      </w:pPr>
      <w:r>
        <w:rPr>
          <w:rFonts w:hint="eastAsia" w:ascii="仿宋_GB2312" w:hAnsi="华文中宋" w:eastAsia="仿宋_GB2312"/>
          <w:sz w:val="32"/>
          <w:szCs w:val="32"/>
        </w:rPr>
        <w:t>专家组组长应当根据评审专家组各位成员的工作特点与专业特长进行合理分工，保障评审工作顺利开展。</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Fonts w:ascii="Calibri" w:hAnsi="Calibri" w:eastAsia="宋体" w:cs="Calibri"/>
                            </w:rPr>
                          </w:pPr>
                          <w:r>
                            <w:rPr>
                              <w:rFonts w:ascii="Calibri" w:hAnsi="Calibri" w:eastAsia="Arial Unicode MS" w:cs="Calibri"/>
                            </w:rPr>
                            <w:fldChar w:fldCharType="begin"/>
                          </w:r>
                          <w:r>
                            <w:rPr>
                              <w:rFonts w:ascii="Calibri" w:hAnsi="Calibri" w:eastAsia="Arial Unicode MS" w:cs="Calibri"/>
                            </w:rPr>
                            <w:instrText xml:space="preserve"> PAGE  \* MERGEFORMAT </w:instrText>
                          </w:r>
                          <w:r>
                            <w:rPr>
                              <w:rFonts w:ascii="Calibri" w:hAnsi="Calibri" w:eastAsia="Arial Unicode MS" w:cs="Calibri"/>
                            </w:rPr>
                            <w:fldChar w:fldCharType="separate"/>
                          </w:r>
                          <w:r>
                            <w:rPr>
                              <w:rFonts w:ascii="Calibri" w:hAnsi="Calibri" w:eastAsia="Arial Unicode MS" w:cs="Calibri"/>
                            </w:rPr>
                            <w:t>40</w:t>
                          </w:r>
                          <w:r>
                            <w:rPr>
                              <w:rFonts w:ascii="Calibri" w:hAnsi="Calibri" w:eastAsia="Arial Unicode MS" w:cs="Calibri"/>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pStyle w:val="5"/>
                      <w:rPr>
                        <w:rFonts w:ascii="Calibri" w:hAnsi="Calibri" w:eastAsia="宋体" w:cs="Calibri"/>
                      </w:rPr>
                    </w:pPr>
                    <w:r>
                      <w:rPr>
                        <w:rFonts w:ascii="Calibri" w:hAnsi="Calibri" w:eastAsia="Arial Unicode MS" w:cs="Calibri"/>
                      </w:rPr>
                      <w:fldChar w:fldCharType="begin"/>
                    </w:r>
                    <w:r>
                      <w:rPr>
                        <w:rFonts w:ascii="Calibri" w:hAnsi="Calibri" w:eastAsia="Arial Unicode MS" w:cs="Calibri"/>
                      </w:rPr>
                      <w:instrText xml:space="preserve"> PAGE  \* MERGEFORMAT </w:instrText>
                    </w:r>
                    <w:r>
                      <w:rPr>
                        <w:rFonts w:ascii="Calibri" w:hAnsi="Calibri" w:eastAsia="Arial Unicode MS" w:cs="Calibri"/>
                      </w:rPr>
                      <w:fldChar w:fldCharType="separate"/>
                    </w:r>
                    <w:r>
                      <w:rPr>
                        <w:rFonts w:ascii="Calibri" w:hAnsi="Calibri" w:eastAsia="Arial Unicode MS" w:cs="Calibri"/>
                      </w:rPr>
                      <w:t>40</w:t>
                    </w:r>
                    <w:r>
                      <w:rPr>
                        <w:rFonts w:ascii="Calibri" w:hAnsi="Calibri" w:eastAsia="Arial Unicode MS" w:cs="Calibri"/>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sdt>
                          <w:sdtPr>
                            <w:id w:val="5832394"/>
                          </w:sdtPr>
                          <w:sdtContent>
                            <w:p>
                              <w:pPr>
                                <w:pStyle w:val="5"/>
                                <w:jc w:val="center"/>
                              </w:pP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lang w:val="zh-CN"/>
                                </w:rPr>
                                <w:t>42</w:t>
                              </w:r>
                              <w:r>
                                <w:rPr>
                                  <w:rFonts w:ascii="Calibri" w:hAnsi="Calibri" w:cs="Calibri"/>
                                  <w:lang w:val="zh-CN"/>
                                </w:rPr>
                                <w:fldChar w:fldCharType="end"/>
                              </w:r>
                            </w:p>
                          </w:sdtContent>
                        </w:sdt>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sdt>
                    <w:sdtPr>
                      <w:id w:val="5832394"/>
                    </w:sdtPr>
                    <w:sdtContent>
                      <w:p>
                        <w:pPr>
                          <w:pStyle w:val="5"/>
                          <w:jc w:val="center"/>
                        </w:pP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lang w:val="zh-CN"/>
                          </w:rPr>
                          <w:t>42</w:t>
                        </w:r>
                        <w:r>
                          <w:rPr>
                            <w:rFonts w:ascii="Calibri" w:hAnsi="Calibri" w:cs="Calibri"/>
                            <w:lang w:val="zh-CN"/>
                          </w:rPr>
                          <w:fldChar w:fldCharType="end"/>
                        </w:r>
                      </w:p>
                    </w:sdtContent>
                  </w:sdt>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F1"/>
    <w:rsid w:val="0004297B"/>
    <w:rsid w:val="000C2A9C"/>
    <w:rsid w:val="000D0AE3"/>
    <w:rsid w:val="000F3BE8"/>
    <w:rsid w:val="00120F40"/>
    <w:rsid w:val="00126A95"/>
    <w:rsid w:val="00172340"/>
    <w:rsid w:val="001908F2"/>
    <w:rsid w:val="00191852"/>
    <w:rsid w:val="002641E1"/>
    <w:rsid w:val="00265C39"/>
    <w:rsid w:val="00275C81"/>
    <w:rsid w:val="002908C1"/>
    <w:rsid w:val="002D4AE1"/>
    <w:rsid w:val="00315730"/>
    <w:rsid w:val="00326FAC"/>
    <w:rsid w:val="0036342F"/>
    <w:rsid w:val="00397884"/>
    <w:rsid w:val="003A27B9"/>
    <w:rsid w:val="003C5477"/>
    <w:rsid w:val="00472A60"/>
    <w:rsid w:val="004B29D7"/>
    <w:rsid w:val="00517A11"/>
    <w:rsid w:val="0052489A"/>
    <w:rsid w:val="00591EB8"/>
    <w:rsid w:val="005B4656"/>
    <w:rsid w:val="005B46D9"/>
    <w:rsid w:val="005D6720"/>
    <w:rsid w:val="006358CF"/>
    <w:rsid w:val="006A14E2"/>
    <w:rsid w:val="007741AD"/>
    <w:rsid w:val="007A7DD4"/>
    <w:rsid w:val="007D01D7"/>
    <w:rsid w:val="007D42DA"/>
    <w:rsid w:val="008712DC"/>
    <w:rsid w:val="008768EB"/>
    <w:rsid w:val="00881CD1"/>
    <w:rsid w:val="00922146"/>
    <w:rsid w:val="009537BA"/>
    <w:rsid w:val="009858E7"/>
    <w:rsid w:val="00A21D7F"/>
    <w:rsid w:val="00A3304A"/>
    <w:rsid w:val="00A868C7"/>
    <w:rsid w:val="00A95C8B"/>
    <w:rsid w:val="00B01180"/>
    <w:rsid w:val="00BA6F56"/>
    <w:rsid w:val="00BB6B2D"/>
    <w:rsid w:val="00CC2A46"/>
    <w:rsid w:val="00CC688B"/>
    <w:rsid w:val="00D310B1"/>
    <w:rsid w:val="00D43552"/>
    <w:rsid w:val="00D85E85"/>
    <w:rsid w:val="00DC3956"/>
    <w:rsid w:val="00E00ACA"/>
    <w:rsid w:val="00E2008D"/>
    <w:rsid w:val="00E33DF1"/>
    <w:rsid w:val="00E6558E"/>
    <w:rsid w:val="00E7099F"/>
    <w:rsid w:val="00ED211C"/>
    <w:rsid w:val="00F117A4"/>
    <w:rsid w:val="00F64D59"/>
    <w:rsid w:val="00F8103E"/>
    <w:rsid w:val="00FB6399"/>
    <w:rsid w:val="197C391D"/>
    <w:rsid w:val="29ED0AA1"/>
    <w:rsid w:val="2C1108A4"/>
    <w:rsid w:val="3BCD3B8B"/>
    <w:rsid w:val="6DAC5ED2"/>
    <w:rsid w:val="71AB6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qFormat/>
    <w:uiPriority w:val="99"/>
    <w:rPr>
      <w:b/>
      <w:bCs/>
    </w:rPr>
  </w:style>
  <w:style w:type="paragraph" w:styleId="3">
    <w:name w:val="annotation text"/>
    <w:basedOn w:val="1"/>
    <w:link w:val="14"/>
    <w:semiHidden/>
    <w:unhideWhenUsed/>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框文本 Char"/>
    <w:basedOn w:val="7"/>
    <w:link w:val="4"/>
    <w:semiHidden/>
    <w:qFormat/>
    <w:uiPriority w:val="99"/>
    <w:rPr>
      <w:kern w:val="2"/>
      <w:sz w:val="18"/>
      <w:szCs w:val="18"/>
    </w:rPr>
  </w:style>
  <w:style w:type="character" w:customStyle="1" w:styleId="14">
    <w:name w:val="批注文字 Char"/>
    <w:basedOn w:val="7"/>
    <w:link w:val="3"/>
    <w:semiHidden/>
    <w:qFormat/>
    <w:uiPriority w:val="99"/>
    <w:rPr>
      <w:kern w:val="2"/>
      <w:sz w:val="21"/>
      <w:szCs w:val="22"/>
    </w:rPr>
  </w:style>
  <w:style w:type="character" w:customStyle="1" w:styleId="15">
    <w:name w:val="批注主题 Char"/>
    <w:basedOn w:val="14"/>
    <w:link w:val="2"/>
    <w:semiHidden/>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caep</Company>
  <Pages>5</Pages>
  <Words>241</Words>
  <Characters>1379</Characters>
  <Lines>11</Lines>
  <Paragraphs>3</Paragraphs>
  <TotalTime>182</TotalTime>
  <ScaleCrop>false</ScaleCrop>
  <LinksUpToDate>false</LinksUpToDate>
  <CharactersWithSpaces>1617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2018-05-14T08:49:00Z</dcterms:created>
  <dc:creator>XWP</dc:creator>
  <cp:lastModifiedBy>北城以北</cp:lastModifiedBy>
  <cp:lastPrinted>2018-06-25T05:02:00Z</cp:lastPrinted>
  <dcterms:modified xsi:type="dcterms:W3CDTF">2018-07-06T06:48:36Z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