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i w:val="0"/>
          <w:caps w:val="0"/>
          <w:color w:val="auto"/>
          <w:spacing w:val="0"/>
          <w:sz w:val="36"/>
          <w:szCs w:val="36"/>
        </w:rPr>
      </w:pPr>
      <w:r>
        <w:rPr>
          <w:rFonts w:hint="eastAsia" w:ascii="方正小标宋简体" w:hAnsi="方正小标宋简体" w:eastAsia="方正小标宋简体" w:cs="方正小标宋简体"/>
          <w:b/>
          <w:i w:val="0"/>
          <w:caps w:val="0"/>
          <w:color w:val="auto"/>
          <w:spacing w:val="0"/>
          <w:kern w:val="0"/>
          <w:sz w:val="36"/>
          <w:szCs w:val="36"/>
          <w:lang w:val="en-US" w:eastAsia="zh-CN" w:bidi="ar"/>
        </w:rPr>
        <w:t>人力资源社会保障部办公厅 司法部办公厅关于开展“薪暖农民工”服务行动的通知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i w:val="0"/>
          <w:caps w:val="0"/>
          <w:color w:val="000000"/>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各省、自治区、直辖市及新疆生产建设兵团人力资源社会保障厅（局）、司法厅（局）：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leftChars="0"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为贯彻落实党的二十大精神，进一步做好农民工服务保障工作，切实维护好农民工劳动报酬权益，人力资源社会保障部、司法部决定开展“薪暖农民工”服务行动。现就有关工作通知如下：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leftChars="0"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一、行动目标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leftChars="0"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聚焦解决拖欠工资等侵害农民工劳动报酬权益问题，重点做好法治宣传教育、畅通维权渠道、强化执法服务、加大法律援助，推动政策法规知悉度更高、企业用工更规范，农民工权益维护力度更大、法律服务可及性更强、促进农民工劳动报酬权益得到更好维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leftChars="0" w:right="0" w:firstLine="640" w:firstLineChars="200"/>
        <w:jc w:val="both"/>
        <w:rPr>
          <w:rFonts w:hint="eastAsia" w:ascii="方正仿宋_GBK" w:hAnsi="方正仿宋_GBK" w:eastAsia="方正仿宋_GBK" w:cs="方正仿宋_GBK"/>
          <w:i w:val="0"/>
          <w:caps w:val="0"/>
          <w:color w:val="333333"/>
          <w:spacing w:val="0"/>
          <w:kern w:val="0"/>
          <w:sz w:val="32"/>
          <w:szCs w:val="32"/>
          <w:lang w:val="en-US" w:eastAsia="zh-CN" w:bidi="ar"/>
        </w:rPr>
      </w:pPr>
      <w:r>
        <w:rPr>
          <w:rFonts w:hint="eastAsia" w:ascii="方正仿宋_GBK" w:hAnsi="方正仿宋_GBK" w:eastAsia="方正仿宋_GBK" w:cs="方正仿宋_GBK"/>
          <w:i w:val="0"/>
          <w:caps w:val="0"/>
          <w:color w:val="333333"/>
          <w:spacing w:val="0"/>
          <w:kern w:val="0"/>
          <w:sz w:val="32"/>
          <w:szCs w:val="32"/>
          <w:lang w:val="en-US" w:eastAsia="zh-CN" w:bidi="ar"/>
        </w:rPr>
        <w:t xml:space="preserve">行动内容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rightChars="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一）加强法治宣传教育。通过印发宣传册，制作宣传动漫、海报、微视频、宣传短片、文艺作品，开展有奖竞答、竞赛等形式，利用“三微一端”等媒介，在零工市场、项目工地、人力资源服务机构、招聘活动现场，广泛开展劳动法、劳动合同法、社会保险法、劳动争议调解仲裁法、《保障农民工工资支付条例》等相关法律法规宣传。在企业注册登记、项目开工许可等政务服务窗口，发放维护农民工劳动报酬权益的宣传册。在农民工集中返乡返岗时段，组织开展维护农民工劳动报酬权益宣传周活动，在招聘活动现场设置咨询岗，开展维权专场讲座。选派公益律师、青年仲裁员志愿者到新开企业和项目工地开展法治讲座，在农民工入职培训、项目工地安全教育等关键节点，开展劳动合同签订、劳动报酬权益维护等方面法规政策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二）畅通维权渠道。鼓励有条件的地区在重大项目建设现场和农民工集中的工业园区、农民工输入地设立农民工流动工作站（岗），为农民工提供便捷服务。畅通劳动争议仲裁、劳动保障监察、信访等维权渠道，鼓励各地加快建设一站式综合维权窗口，开展农民工工资争议速裁庭建设，通过投诉一窗受理、争议案件速裁，实现农民工劳动报酬案件快速分流处理。发挥12333、12345服务热线与全国根治欠薪线索反映平台作用，构建“信、访、网、电”多渠道维权投诉体系，提升维权处置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（三）做好执法服务。组织开展“执法服务进企业”活动，聚焦劳动密集型加工制造企业和工程建设领域等欠薪风险隐患较大的行业企业，在企业自愿情况下，提供点对点上门服务。通过欠薪典型案例以</w:t>
      </w:r>
      <w:bookmarkStart w:id="0" w:name="_GoBack"/>
      <w:bookmarkEnd w:id="0"/>
      <w:r>
        <w:rPr>
          <w:rFonts w:hint="eastAsia" w:ascii="方正仿宋_GBK" w:hAnsi="方正仿宋_GBK" w:eastAsia="方正仿宋_GBK" w:cs="方正仿宋_GBK"/>
          <w:i w:val="0"/>
          <w:caps w:val="0"/>
          <w:color w:val="333333"/>
          <w:spacing w:val="0"/>
          <w:kern w:val="0"/>
          <w:sz w:val="32"/>
          <w:szCs w:val="32"/>
          <w:lang w:val="en-US" w:eastAsia="zh-CN" w:bidi="ar"/>
        </w:rPr>
        <w:t>案释法、以案普法，帮助企业梳理分析在用工管理、制度落实等方面存在的漏洞和风险点，辅导培训劳资专管员考勤管理、工资造表等业务知识。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四）强化法律援助服务。法律援助机构可以根据工作需要在农民工聚集地设立法律援助工作站或者联络点，方便农民工申请法律援助。深化开展“尊法守法·携手筑梦”服务农民工公益法律服务行动和“法援惠民生·助力农民工”活动。畅通农民工法律援助绿色通道，对农民工追索劳动报酬案件优先受理、优先审查、优先指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五）营造良好氛围。鼓励各地打造“不欠薪城市”“不欠薪企业”“不欠薪项目”，选树和宣传一批尊法守法的企业典型，发挥示范引领作用。鼓励有条件的地区开展“最美农民工”选树活动，挖掘一批崇尚劳动、勤劳致富的农民工典型，营造关心关爱农民工的社会氛围。及时排查因欠薪导致生活困难的农民工，通过协调民政救助、动用应急周转金等手段，做好维权期间的基本生活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三、工作要求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leftChars="0"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一）切实提高认识。开展“薪暖农民工”服务行动，是贯彻落实党中央、国务院决策部署，维护农民工合法权益的一项民生举措。各地要提高政治站位，紧紧抓住农民工最关心最直接最现实的劳动报酬权益问题，强化工作部署，抓好工作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leftChars="0"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（二）精心组织实施。各地人力资源社会保障部门要发挥维权协调机制作用，强化部门协作，细化工作方案，量化工作措施，明确职责分工，确保活动有实招、见实效。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leftChars="0" w:right="0" w:firstLine="640" w:firstLineChars="20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三）及时总结情况。各省（区、市）人力资源社会保障部门要动态掌握行动进展，会同相关部门做好开展活动场次、制发宣传手册数量、提供法律援助人次、救助困难农民工人数等情况统计，认真总结典型经验，及时开展分析研判。有关工作情况和成效，请于12月31日前报送人力资源社会保障部农民工工作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80"/>
        <w:jc w:val="both"/>
        <w:rPr>
          <w:rFonts w:hint="eastAsia" w:ascii="方正仿宋_GBK" w:hAnsi="方正仿宋_GBK" w:eastAsia="方正仿宋_GBK" w:cs="方正仿宋_GBK"/>
          <w:i w:val="0"/>
          <w:caps w:val="0"/>
          <w:color w:val="333333"/>
          <w:spacing w:val="0"/>
          <w:kern w:val="0"/>
          <w:sz w:val="32"/>
          <w:szCs w:val="32"/>
          <w:lang w:val="en-US" w:eastAsia="zh-CN" w:bidi="ar"/>
        </w:rPr>
      </w:pPr>
      <w:r>
        <w:rPr>
          <w:rFonts w:hint="eastAsia" w:ascii="方正仿宋_GBK" w:hAnsi="方正仿宋_GBK" w:eastAsia="方正仿宋_GBK" w:cs="方正仿宋_GBK"/>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80"/>
        <w:jc w:val="both"/>
        <w:rPr>
          <w:rFonts w:hint="eastAsia" w:ascii="方正仿宋_GBK" w:hAnsi="方正仿宋_GBK" w:eastAsia="方正仿宋_GBK" w:cs="方正仿宋_GBK"/>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2006" w:firstLineChars="627"/>
        <w:jc w:val="both"/>
        <w:rPr>
          <w:rFonts w:hint="eastAsia" w:ascii="方正仿宋_GBK" w:hAnsi="方正仿宋_GBK" w:eastAsia="方正仿宋_GBK" w:cs="方正仿宋_GBK"/>
          <w:i w:val="0"/>
          <w:caps w:val="0"/>
          <w:color w:val="333333"/>
          <w:spacing w:val="0"/>
          <w:kern w:val="0"/>
          <w:sz w:val="32"/>
          <w:szCs w:val="32"/>
          <w:lang w:val="en-US" w:eastAsia="zh-CN" w:bidi="ar"/>
        </w:rPr>
      </w:pPr>
      <w:r>
        <w:rPr>
          <w:rFonts w:hint="eastAsia" w:ascii="方正仿宋_GBK" w:hAnsi="方正仿宋_GBK" w:eastAsia="方正仿宋_GBK" w:cs="方正仿宋_GBK"/>
          <w:i w:val="0"/>
          <w:caps w:val="0"/>
          <w:color w:val="333333"/>
          <w:spacing w:val="0"/>
          <w:kern w:val="0"/>
          <w:sz w:val="32"/>
          <w:szCs w:val="32"/>
          <w:lang w:val="en-US" w:eastAsia="zh-CN" w:bidi="ar"/>
        </w:rPr>
        <w:t>人力资源社会保障部办公厅  司法部办公厅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206" w:firstLineChars="1627"/>
        <w:jc w:val="both"/>
        <w:rPr>
          <w:rFonts w:hint="default" w:ascii="方正仿宋_GBK" w:hAnsi="方正仿宋_GBK" w:eastAsia="方正仿宋_GBK" w:cs="方正仿宋_GBK"/>
          <w:i w:val="0"/>
          <w:caps w:val="0"/>
          <w:color w:val="333333"/>
          <w:spacing w:val="0"/>
          <w:kern w:val="0"/>
          <w:sz w:val="32"/>
          <w:szCs w:val="32"/>
          <w:lang w:val="en-US" w:eastAsia="zh-CN" w:bidi="ar"/>
        </w:rPr>
      </w:pPr>
      <w:r>
        <w:rPr>
          <w:rFonts w:hint="eastAsia" w:ascii="方正仿宋_GBK" w:hAnsi="方正仿宋_GBK" w:eastAsia="方正仿宋_GBK" w:cs="方正仿宋_GBK"/>
          <w:i w:val="0"/>
          <w:caps w:val="0"/>
          <w:color w:val="333333"/>
          <w:spacing w:val="0"/>
          <w:kern w:val="0"/>
          <w:sz w:val="32"/>
          <w:szCs w:val="32"/>
          <w:lang w:val="en-US" w:eastAsia="zh-CN" w:bidi="ar"/>
        </w:rPr>
        <w:t>2023年5月18日</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40" w:lineRule="atLeast"/>
        <w:ind w:left="0" w:right="0" w:firstLine="480"/>
        <w:jc w:val="right"/>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kern w:val="0"/>
          <w:sz w:val="32"/>
          <w:szCs w:val="32"/>
          <w:lang w:val="en-US" w:eastAsia="zh-CN" w:bidi="ar"/>
        </w:rPr>
        <w:t>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CB80"/>
    <w:multiLevelType w:val="singleLevel"/>
    <w:tmpl w:val="FFEFCB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FFE77A6C"/>
    <w:rsid w:val="3806537C"/>
    <w:rsid w:val="CFBD77AA"/>
    <w:rsid w:val="FC3F79D5"/>
    <w:rsid w:val="FFE77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1662</Characters>
  <Lines>0</Lines>
  <Paragraphs>0</Paragraphs>
  <TotalTime>21.6666666666667</TotalTime>
  <ScaleCrop>false</ScaleCrop>
  <LinksUpToDate>false</LinksUpToDate>
  <CharactersWithSpaces>1694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2023-05-26T16:12:00Z</dcterms:created>
  <dc:creator>sfb</dc:creator>
  <cp:lastModifiedBy>Snail  walk(慢节奏)</cp:lastModifiedBy>
  <cp:lastPrinted>2023-05-26T16:20:47Z</cp:lastPrinted>
  <dcterms:modified xsi:type="dcterms:W3CDTF">2023-05-29T03:20:10Z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AE00941665ED4B9982869CBBC72D0A60_13</vt:lpwstr>
  </property>
</Properties>
</file>