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C9B" w:rsidRPr="000C338D" w:rsidRDefault="00485A9F" w:rsidP="000C338D">
      <w:pPr>
        <w:jc w:val="center"/>
        <w:rPr>
          <w:rFonts w:ascii="仿宋" w:eastAsia="仿宋" w:hAnsi="仿宋"/>
          <w:b/>
          <w:sz w:val="44"/>
          <w:szCs w:val="44"/>
        </w:rPr>
      </w:pPr>
      <w:r w:rsidRPr="000C338D">
        <w:rPr>
          <w:rFonts w:ascii="仿宋" w:eastAsia="仿宋" w:hAnsi="仿宋" w:hint="eastAsia"/>
          <w:b/>
          <w:sz w:val="44"/>
          <w:szCs w:val="44"/>
        </w:rPr>
        <w:t>《金融控股公司关联交易管理办法（征求意见稿）》</w:t>
      </w:r>
      <w:r w:rsidRPr="000C338D">
        <w:rPr>
          <w:rFonts w:ascii="仿宋" w:eastAsia="仿宋" w:hAnsi="仿宋" w:hint="eastAsia"/>
          <w:b/>
          <w:sz w:val="44"/>
          <w:szCs w:val="44"/>
        </w:rPr>
        <w:t>起草说明</w:t>
      </w:r>
    </w:p>
    <w:p w:rsidR="003B0C9B" w:rsidRPr="000C338D" w:rsidRDefault="003B0C9B">
      <w:pPr>
        <w:jc w:val="left"/>
        <w:rPr>
          <w:rFonts w:ascii="仿宋" w:eastAsia="仿宋" w:hAnsi="仿宋"/>
          <w:sz w:val="32"/>
          <w:szCs w:val="32"/>
        </w:rPr>
      </w:pPr>
    </w:p>
    <w:p w:rsidR="003B0C9B" w:rsidRPr="000C338D" w:rsidRDefault="00485A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338D">
        <w:rPr>
          <w:rFonts w:ascii="仿宋" w:eastAsia="仿宋" w:hAnsi="仿宋" w:hint="eastAsia"/>
          <w:sz w:val="32"/>
          <w:szCs w:val="32"/>
        </w:rPr>
        <w:t>为规范金融控股公司的关联交易行为，</w:t>
      </w:r>
      <w:r w:rsidRPr="000C338D">
        <w:rPr>
          <w:rFonts w:ascii="仿宋" w:eastAsia="仿宋" w:hAnsi="仿宋"/>
          <w:sz w:val="32"/>
          <w:szCs w:val="32"/>
        </w:rPr>
        <w:t>促进</w:t>
      </w:r>
      <w:r w:rsidRPr="000C338D">
        <w:rPr>
          <w:rFonts w:ascii="仿宋" w:eastAsia="仿宋" w:hAnsi="仿宋" w:hint="eastAsia"/>
          <w:sz w:val="32"/>
          <w:szCs w:val="32"/>
        </w:rPr>
        <w:t>金融控股公司稳健</w:t>
      </w:r>
      <w:r w:rsidRPr="000C338D">
        <w:rPr>
          <w:rFonts w:ascii="仿宋" w:eastAsia="仿宋" w:hAnsi="仿宋"/>
          <w:sz w:val="32"/>
          <w:szCs w:val="32"/>
        </w:rPr>
        <w:t>经营</w:t>
      </w:r>
      <w:r w:rsidRPr="000C338D">
        <w:rPr>
          <w:rFonts w:ascii="仿宋" w:eastAsia="仿宋" w:hAnsi="仿宋" w:hint="eastAsia"/>
          <w:sz w:val="32"/>
          <w:szCs w:val="32"/>
        </w:rPr>
        <w:t>，根据</w:t>
      </w:r>
      <w:r w:rsidRPr="000C338D">
        <w:rPr>
          <w:rFonts w:ascii="仿宋" w:eastAsia="仿宋" w:hAnsi="仿宋"/>
          <w:sz w:val="32"/>
          <w:szCs w:val="32"/>
        </w:rPr>
        <w:t>《金融控股公司监督管理试行办法》（</w:t>
      </w:r>
      <w:r w:rsidRPr="000C338D">
        <w:rPr>
          <w:rFonts w:ascii="仿宋" w:eastAsia="仿宋" w:hAnsi="仿宋" w:hint="eastAsia"/>
          <w:sz w:val="32"/>
          <w:szCs w:val="32"/>
        </w:rPr>
        <w:t>以下简称《金控办法》</w:t>
      </w:r>
      <w:r w:rsidRPr="000C338D">
        <w:rPr>
          <w:rFonts w:ascii="仿宋" w:eastAsia="仿宋" w:hAnsi="仿宋"/>
          <w:sz w:val="32"/>
          <w:szCs w:val="32"/>
        </w:rPr>
        <w:t>）</w:t>
      </w:r>
      <w:r w:rsidRPr="000C338D">
        <w:rPr>
          <w:rFonts w:ascii="仿宋" w:eastAsia="仿宋" w:hAnsi="仿宋" w:hint="eastAsia"/>
          <w:sz w:val="32"/>
          <w:szCs w:val="32"/>
        </w:rPr>
        <w:t>等</w:t>
      </w:r>
      <w:r w:rsidRPr="000C338D">
        <w:rPr>
          <w:rFonts w:ascii="仿宋" w:eastAsia="仿宋" w:hAnsi="仿宋"/>
          <w:sz w:val="32"/>
          <w:szCs w:val="32"/>
        </w:rPr>
        <w:t>规定</w:t>
      </w:r>
      <w:r w:rsidRPr="000C338D">
        <w:rPr>
          <w:rFonts w:ascii="仿宋" w:eastAsia="仿宋" w:hAnsi="仿宋" w:hint="eastAsia"/>
          <w:sz w:val="32"/>
          <w:szCs w:val="32"/>
        </w:rPr>
        <w:t>，</w:t>
      </w:r>
      <w:r w:rsidRPr="000C338D">
        <w:rPr>
          <w:rFonts w:ascii="仿宋" w:eastAsia="仿宋" w:hAnsi="仿宋"/>
          <w:sz w:val="32"/>
          <w:szCs w:val="32"/>
        </w:rPr>
        <w:t>人民银行充分借鉴国内外监管经验，</w:t>
      </w:r>
      <w:r w:rsidRPr="000C338D">
        <w:rPr>
          <w:rFonts w:ascii="仿宋" w:eastAsia="仿宋" w:hAnsi="仿宋" w:hint="eastAsia"/>
          <w:sz w:val="32"/>
          <w:szCs w:val="32"/>
        </w:rPr>
        <w:t>起草了《金融控股公司关联交易管理办法（征求意见稿）》（以下简称《办法》）。现将有关情况说明如下：</w:t>
      </w:r>
    </w:p>
    <w:p w:rsidR="003B0C9B" w:rsidRPr="000C338D" w:rsidRDefault="00485A9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C338D">
        <w:rPr>
          <w:rFonts w:ascii="仿宋" w:eastAsia="仿宋" w:hAnsi="仿宋" w:hint="eastAsia"/>
          <w:b/>
          <w:sz w:val="32"/>
          <w:szCs w:val="32"/>
        </w:rPr>
        <w:t>一、</w:t>
      </w:r>
      <w:r w:rsidRPr="000C338D">
        <w:rPr>
          <w:rFonts w:ascii="仿宋" w:eastAsia="仿宋" w:hAnsi="仿宋"/>
          <w:b/>
          <w:sz w:val="32"/>
          <w:szCs w:val="32"/>
        </w:rPr>
        <w:t>起草背景</w:t>
      </w:r>
      <w:bookmarkStart w:id="0" w:name="_GoBack"/>
      <w:bookmarkEnd w:id="0"/>
    </w:p>
    <w:p w:rsidR="003B0C9B" w:rsidRPr="000C338D" w:rsidRDefault="00485A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338D">
        <w:rPr>
          <w:rFonts w:ascii="仿宋" w:eastAsia="仿宋" w:hAnsi="仿宋"/>
          <w:sz w:val="32"/>
          <w:szCs w:val="32"/>
        </w:rPr>
        <w:t>规范关联交易行为是完善金融控股公司内部控制和风险管理的关键</w:t>
      </w:r>
      <w:r w:rsidRPr="000C338D">
        <w:rPr>
          <w:rFonts w:ascii="仿宋" w:eastAsia="仿宋" w:hAnsi="仿宋" w:hint="eastAsia"/>
          <w:sz w:val="32"/>
          <w:szCs w:val="32"/>
        </w:rPr>
        <w:t>，也是金融控股公司监管的</w:t>
      </w:r>
      <w:r w:rsidRPr="000C338D">
        <w:rPr>
          <w:rFonts w:ascii="仿宋" w:eastAsia="仿宋" w:hAnsi="仿宋"/>
          <w:sz w:val="32"/>
          <w:szCs w:val="32"/>
        </w:rPr>
        <w:t>重要方式</w:t>
      </w:r>
      <w:r w:rsidRPr="000C338D">
        <w:rPr>
          <w:rFonts w:ascii="仿宋" w:eastAsia="仿宋" w:hAnsi="仿宋"/>
          <w:sz w:val="32"/>
          <w:szCs w:val="32"/>
        </w:rPr>
        <w:t>。</w:t>
      </w:r>
      <w:r w:rsidRPr="000C338D">
        <w:rPr>
          <w:rFonts w:ascii="仿宋" w:eastAsia="仿宋" w:hAnsi="仿宋" w:hint="eastAsia"/>
          <w:sz w:val="32"/>
          <w:szCs w:val="32"/>
        </w:rPr>
        <w:t>金融控股公司</w:t>
      </w:r>
      <w:r w:rsidRPr="000C338D">
        <w:rPr>
          <w:rFonts w:ascii="仿宋" w:eastAsia="仿宋" w:hAnsi="仿宋"/>
          <w:sz w:val="32"/>
          <w:szCs w:val="32"/>
        </w:rPr>
        <w:t>作为</w:t>
      </w:r>
      <w:r w:rsidRPr="000C338D">
        <w:rPr>
          <w:rFonts w:ascii="仿宋" w:eastAsia="仿宋" w:hAnsi="仿宋" w:hint="eastAsia"/>
          <w:sz w:val="32"/>
          <w:szCs w:val="32"/>
        </w:rPr>
        <w:t>金融控股集团的母公司，</w:t>
      </w:r>
      <w:r w:rsidRPr="000C338D">
        <w:rPr>
          <w:rFonts w:ascii="仿宋" w:eastAsia="仿宋" w:hAnsi="仿宋"/>
          <w:sz w:val="32"/>
          <w:szCs w:val="32"/>
        </w:rPr>
        <w:t>既要开展</w:t>
      </w:r>
      <w:r w:rsidRPr="000C338D">
        <w:rPr>
          <w:rFonts w:ascii="仿宋" w:eastAsia="仿宋" w:hAnsi="仿宋" w:hint="eastAsia"/>
          <w:sz w:val="32"/>
          <w:szCs w:val="32"/>
        </w:rPr>
        <w:t>本级关联交易管理，指导和</w:t>
      </w:r>
      <w:r w:rsidRPr="000C338D">
        <w:rPr>
          <w:rFonts w:ascii="仿宋" w:eastAsia="仿宋" w:hAnsi="仿宋"/>
          <w:sz w:val="32"/>
          <w:szCs w:val="32"/>
        </w:rPr>
        <w:t>督促</w:t>
      </w:r>
      <w:r w:rsidRPr="000C338D">
        <w:rPr>
          <w:rFonts w:ascii="仿宋" w:eastAsia="仿宋" w:hAnsi="仿宋" w:hint="eastAsia"/>
          <w:sz w:val="32"/>
          <w:szCs w:val="32"/>
        </w:rPr>
        <w:t>附属机构满足相应的关联交易</w:t>
      </w:r>
      <w:r w:rsidRPr="000C338D">
        <w:rPr>
          <w:rFonts w:ascii="仿宋" w:eastAsia="仿宋" w:hAnsi="仿宋"/>
          <w:sz w:val="32"/>
          <w:szCs w:val="32"/>
        </w:rPr>
        <w:t>监管规定，还应从集团整体、跨行业、跨机构视角，对集团内部交易和集团对外关联交易</w:t>
      </w:r>
      <w:r w:rsidRPr="000C338D">
        <w:rPr>
          <w:rFonts w:ascii="仿宋" w:eastAsia="仿宋" w:hAnsi="仿宋" w:hint="eastAsia"/>
          <w:sz w:val="32"/>
          <w:szCs w:val="32"/>
        </w:rPr>
        <w:t>及其风险敞口进行收集汇总、监测分析和评估预警</w:t>
      </w:r>
      <w:r w:rsidRPr="000C338D">
        <w:rPr>
          <w:rFonts w:ascii="仿宋" w:eastAsia="仿宋" w:hAnsi="仿宋"/>
          <w:sz w:val="32"/>
          <w:szCs w:val="32"/>
        </w:rPr>
        <w:t>，以促进金融控股集团规范运作和稳健经营。</w:t>
      </w:r>
      <w:r w:rsidRPr="000C338D">
        <w:rPr>
          <w:rFonts w:ascii="仿宋" w:eastAsia="仿宋" w:hAnsi="仿宋" w:hint="eastAsia"/>
          <w:sz w:val="32"/>
          <w:szCs w:val="32"/>
        </w:rPr>
        <w:t>《金控办法》对金融控股公司关联交易</w:t>
      </w:r>
      <w:r w:rsidRPr="000C338D">
        <w:rPr>
          <w:rFonts w:ascii="仿宋" w:eastAsia="仿宋" w:hAnsi="仿宋"/>
          <w:sz w:val="32"/>
          <w:szCs w:val="32"/>
        </w:rPr>
        <w:t>进行</w:t>
      </w:r>
      <w:r w:rsidRPr="000C338D">
        <w:rPr>
          <w:rFonts w:ascii="仿宋" w:eastAsia="仿宋" w:hAnsi="仿宋" w:hint="eastAsia"/>
          <w:sz w:val="32"/>
          <w:szCs w:val="32"/>
        </w:rPr>
        <w:t>了原则性规定，</w:t>
      </w:r>
      <w:r w:rsidRPr="000C338D">
        <w:rPr>
          <w:rFonts w:ascii="仿宋" w:eastAsia="仿宋" w:hAnsi="仿宋"/>
          <w:sz w:val="32"/>
          <w:szCs w:val="32"/>
        </w:rPr>
        <w:t>《办法》在此基础上进一步明确相关要求和标准</w:t>
      </w:r>
      <w:r w:rsidRPr="000C338D">
        <w:rPr>
          <w:rFonts w:ascii="仿宋" w:eastAsia="仿宋" w:hAnsi="仿宋" w:hint="eastAsia"/>
          <w:sz w:val="32"/>
          <w:szCs w:val="32"/>
        </w:rPr>
        <w:t>，</w:t>
      </w:r>
      <w:r w:rsidRPr="000C338D">
        <w:rPr>
          <w:rFonts w:ascii="仿宋" w:eastAsia="仿宋" w:hAnsi="仿宋"/>
          <w:sz w:val="32"/>
          <w:szCs w:val="32"/>
        </w:rPr>
        <w:t>为金融控股公司关联交易管理提供指导和依据。</w:t>
      </w:r>
    </w:p>
    <w:p w:rsidR="003B0C9B" w:rsidRPr="000C338D" w:rsidRDefault="00485A9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C338D">
        <w:rPr>
          <w:rFonts w:ascii="仿宋" w:eastAsia="仿宋" w:hAnsi="仿宋" w:hint="eastAsia"/>
          <w:b/>
          <w:sz w:val="32"/>
          <w:szCs w:val="32"/>
        </w:rPr>
        <w:t>二、基本原则</w:t>
      </w:r>
    </w:p>
    <w:p w:rsidR="003B0C9B" w:rsidRPr="000C338D" w:rsidRDefault="00485A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338D">
        <w:rPr>
          <w:rFonts w:ascii="仿宋" w:eastAsia="仿宋" w:hAnsi="仿宋"/>
          <w:sz w:val="32"/>
          <w:szCs w:val="32"/>
        </w:rPr>
        <w:t>金融控股公司开展关联交易应当遵循穿透识别、合理公允、公开透明和治理独立等原则。</w:t>
      </w:r>
      <w:r w:rsidRPr="000C338D">
        <w:rPr>
          <w:rFonts w:ascii="仿宋" w:eastAsia="仿宋" w:hAnsi="仿宋"/>
          <w:b/>
          <w:bCs/>
          <w:sz w:val="32"/>
          <w:szCs w:val="32"/>
        </w:rPr>
        <w:t>一是</w:t>
      </w:r>
      <w:r w:rsidRPr="000C338D">
        <w:rPr>
          <w:rFonts w:ascii="仿宋" w:eastAsia="仿宋" w:hAnsi="仿宋"/>
          <w:sz w:val="32"/>
          <w:szCs w:val="32"/>
        </w:rPr>
        <w:t>按照实质重于形式和</w:t>
      </w:r>
      <w:r w:rsidRPr="000C338D">
        <w:rPr>
          <w:rFonts w:ascii="仿宋" w:eastAsia="仿宋" w:hAnsi="仿宋"/>
          <w:sz w:val="32"/>
          <w:szCs w:val="32"/>
        </w:rPr>
        <w:lastRenderedPageBreak/>
        <w:t>穿透原则，识别、认定、管理关联方和关联交易，人民银行可在此基础上进行补充认定和穿透识别。</w:t>
      </w:r>
      <w:r w:rsidRPr="000C338D">
        <w:rPr>
          <w:rFonts w:ascii="仿宋" w:eastAsia="仿宋" w:hAnsi="仿宋"/>
          <w:b/>
          <w:bCs/>
          <w:sz w:val="32"/>
          <w:szCs w:val="32"/>
        </w:rPr>
        <w:t>二是</w:t>
      </w:r>
      <w:r w:rsidRPr="000C338D">
        <w:rPr>
          <w:rFonts w:ascii="仿宋" w:eastAsia="仿宋" w:hAnsi="仿宋"/>
          <w:sz w:val="32"/>
          <w:szCs w:val="32"/>
        </w:rPr>
        <w:t>关联交易应符合商业合理原则，具有真实的业务背景，确保交易条件合理、交易价格公允。</w:t>
      </w:r>
      <w:r w:rsidRPr="000C338D">
        <w:rPr>
          <w:rFonts w:ascii="仿宋" w:eastAsia="仿宋" w:hAnsi="仿宋"/>
          <w:b/>
          <w:bCs/>
          <w:sz w:val="32"/>
          <w:szCs w:val="32"/>
        </w:rPr>
        <w:t>三是</w:t>
      </w:r>
      <w:r w:rsidRPr="000C338D">
        <w:rPr>
          <w:rFonts w:ascii="仿宋" w:eastAsia="仿宋" w:hAnsi="仿宋"/>
          <w:sz w:val="32"/>
          <w:szCs w:val="32"/>
        </w:rPr>
        <w:t>开展关联交易应公开透明，通过及时、充分的信息披露让利益相关方了解集团的业务运作，强化市场约束作用。</w:t>
      </w:r>
      <w:r w:rsidRPr="000C338D">
        <w:rPr>
          <w:rFonts w:ascii="仿宋" w:eastAsia="仿宋" w:hAnsi="仿宋"/>
          <w:b/>
          <w:bCs/>
          <w:sz w:val="32"/>
          <w:szCs w:val="32"/>
        </w:rPr>
        <w:t>四是</w:t>
      </w:r>
      <w:r w:rsidRPr="000C338D">
        <w:rPr>
          <w:rFonts w:ascii="仿宋" w:eastAsia="仿宋" w:hAnsi="仿宋"/>
          <w:sz w:val="32"/>
          <w:szCs w:val="32"/>
        </w:rPr>
        <w:t>金融控股公司应维护附属机构的独立运作，通过公司治理程序正当行使股东权利。</w:t>
      </w:r>
    </w:p>
    <w:p w:rsidR="003B0C9B" w:rsidRPr="000C338D" w:rsidRDefault="00485A9F">
      <w:pPr>
        <w:ind w:firstLineChars="200" w:firstLine="643"/>
        <w:rPr>
          <w:rFonts w:ascii="仿宋" w:eastAsia="仿宋" w:hAnsi="仿宋"/>
          <w:b/>
          <w:sz w:val="32"/>
          <w:szCs w:val="32"/>
        </w:rPr>
      </w:pPr>
      <w:r w:rsidRPr="000C338D">
        <w:rPr>
          <w:rFonts w:ascii="仿宋" w:eastAsia="仿宋" w:hAnsi="仿宋" w:hint="eastAsia"/>
          <w:b/>
          <w:sz w:val="32"/>
          <w:szCs w:val="32"/>
        </w:rPr>
        <w:t>三、主要内容</w:t>
      </w:r>
    </w:p>
    <w:p w:rsidR="003B0C9B" w:rsidRPr="000C338D" w:rsidRDefault="00485A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338D">
        <w:rPr>
          <w:rFonts w:ascii="仿宋" w:eastAsia="仿宋" w:hAnsi="仿宋" w:hint="eastAsia"/>
          <w:sz w:val="32"/>
          <w:szCs w:val="32"/>
        </w:rPr>
        <w:t>《办法》</w:t>
      </w:r>
      <w:r w:rsidRPr="000C338D">
        <w:rPr>
          <w:rFonts w:ascii="仿宋" w:eastAsia="仿宋" w:hAnsi="仿宋"/>
          <w:sz w:val="32"/>
          <w:szCs w:val="32"/>
        </w:rPr>
        <w:t>共七章四十八条，包括总则、金融控股公司本级的关联方、金融控股公司的关联交易、内部管理、报告和披露、监督管理和附则。主要内</w:t>
      </w:r>
      <w:r w:rsidRPr="000C338D">
        <w:rPr>
          <w:rFonts w:ascii="仿宋" w:eastAsia="仿宋" w:hAnsi="仿宋"/>
          <w:sz w:val="32"/>
          <w:szCs w:val="32"/>
        </w:rPr>
        <w:t>容包括：</w:t>
      </w:r>
    </w:p>
    <w:p w:rsidR="003B0C9B" w:rsidRPr="000C338D" w:rsidRDefault="00485A9F">
      <w:pPr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0C338D">
        <w:rPr>
          <w:rFonts w:ascii="仿宋" w:eastAsia="仿宋" w:hAnsi="仿宋"/>
          <w:b/>
          <w:bCs/>
          <w:color w:val="000000"/>
          <w:sz w:val="32"/>
          <w:szCs w:val="32"/>
        </w:rPr>
        <w:t>一</w:t>
      </w:r>
      <w:r w:rsidRPr="000C338D">
        <w:rPr>
          <w:rFonts w:ascii="仿宋" w:eastAsia="仿宋" w:hAnsi="仿宋" w:hint="eastAsia"/>
          <w:b/>
          <w:bCs/>
          <w:color w:val="000000"/>
          <w:sz w:val="32"/>
          <w:szCs w:val="32"/>
        </w:rPr>
        <w:t>是确定金融控股公司本级的关联方范围。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《办法》明确了本级关联方的最小合理范围，包括股东类关联方、内部人关联方以及附属机构。</w:t>
      </w:r>
      <w:r w:rsidRPr="000C338D">
        <w:rPr>
          <w:rFonts w:ascii="仿宋" w:eastAsia="仿宋" w:hAnsi="仿宋"/>
          <w:color w:val="000000"/>
          <w:sz w:val="32"/>
          <w:szCs w:val="32"/>
        </w:rPr>
        <w:t>同时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，金融控股公司和人民银行均可以按照实质重于形式和穿透的原则，认定可能导致金融控股公司或其附属机构利益</w:t>
      </w:r>
      <w:r w:rsidRPr="000C338D">
        <w:rPr>
          <w:rFonts w:ascii="仿宋" w:eastAsia="仿宋" w:hAnsi="仿宋"/>
          <w:color w:val="000000"/>
          <w:sz w:val="32"/>
          <w:szCs w:val="32"/>
        </w:rPr>
        <w:t>不当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转移的自然人、法人或非法人组织为金融控股公司本级的关联方。</w:t>
      </w:r>
    </w:p>
    <w:p w:rsidR="003B0C9B" w:rsidRPr="000C338D" w:rsidRDefault="00485A9F">
      <w:pPr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0C338D">
        <w:rPr>
          <w:rFonts w:ascii="仿宋" w:eastAsia="仿宋" w:hAnsi="仿宋"/>
          <w:b/>
          <w:bCs/>
          <w:color w:val="000000"/>
          <w:sz w:val="32"/>
          <w:szCs w:val="32"/>
        </w:rPr>
        <w:t>二</w:t>
      </w:r>
      <w:r w:rsidRPr="000C338D">
        <w:rPr>
          <w:rFonts w:ascii="仿宋" w:eastAsia="仿宋" w:hAnsi="仿宋" w:hint="eastAsia"/>
          <w:b/>
          <w:bCs/>
          <w:color w:val="000000"/>
          <w:sz w:val="32"/>
          <w:szCs w:val="32"/>
        </w:rPr>
        <w:t>是从多个维度划分关联交易类别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按照交易主体不同，</w:t>
      </w:r>
      <w:r w:rsidRPr="000C338D">
        <w:rPr>
          <w:rFonts w:ascii="仿宋" w:eastAsia="仿宋" w:hAnsi="仿宋"/>
          <w:color w:val="000000"/>
          <w:sz w:val="32"/>
          <w:szCs w:val="32"/>
        </w:rPr>
        <w:t>《办法》将关联交易分为金融控股公司本级关联交易和附属机构关联交易，前者受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人民银行</w:t>
      </w:r>
      <w:r w:rsidRPr="000C338D">
        <w:rPr>
          <w:rFonts w:ascii="仿宋" w:eastAsia="仿宋" w:hAnsi="仿宋"/>
          <w:color w:val="000000"/>
          <w:sz w:val="32"/>
          <w:szCs w:val="32"/>
        </w:rPr>
        <w:t>监管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，</w:t>
      </w:r>
      <w:r w:rsidRPr="000C338D">
        <w:rPr>
          <w:rFonts w:ascii="仿宋" w:eastAsia="仿宋" w:hAnsi="仿宋"/>
          <w:color w:val="000000"/>
          <w:sz w:val="32"/>
          <w:szCs w:val="32"/>
        </w:rPr>
        <w:t>后者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受金融监管部门监管。按照管理目标不同，</w:t>
      </w:r>
      <w:r w:rsidRPr="000C338D">
        <w:rPr>
          <w:rFonts w:ascii="仿宋" w:eastAsia="仿宋" w:hAnsi="仿宋"/>
          <w:color w:val="000000"/>
          <w:sz w:val="32"/>
          <w:szCs w:val="32"/>
        </w:rPr>
        <w:t>集团内部交易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重点防范</w:t>
      </w:r>
      <w:r w:rsidRPr="000C338D">
        <w:rPr>
          <w:rFonts w:ascii="仿宋" w:eastAsia="仿宋" w:hAnsi="仿宋"/>
          <w:color w:val="000000"/>
          <w:sz w:val="32"/>
          <w:szCs w:val="32"/>
        </w:rPr>
        <w:t>虚构交易、转移利润、隐藏风险、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监管套利等问题，</w:t>
      </w:r>
      <w:r w:rsidRPr="000C338D">
        <w:rPr>
          <w:rFonts w:ascii="仿宋" w:eastAsia="仿宋" w:hAnsi="仿宋"/>
          <w:color w:val="000000"/>
          <w:sz w:val="32"/>
          <w:szCs w:val="32"/>
        </w:rPr>
        <w:t>集团对外关联交易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lastRenderedPageBreak/>
        <w:t>重点防范利益输送风险。按照交易类型不同，</w:t>
      </w:r>
      <w:r w:rsidRPr="000C338D">
        <w:rPr>
          <w:rFonts w:ascii="仿宋" w:eastAsia="仿宋" w:hAnsi="仿宋"/>
          <w:color w:val="000000"/>
          <w:sz w:val="32"/>
          <w:szCs w:val="32"/>
        </w:rPr>
        <w:t>《办法》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将关联交易分为投融资类、资产转移类、提供服务类</w:t>
      </w:r>
      <w:r w:rsidRPr="000C338D">
        <w:rPr>
          <w:rFonts w:ascii="仿宋" w:eastAsia="仿宋" w:hAnsi="仿宋"/>
          <w:color w:val="000000"/>
          <w:sz w:val="32"/>
          <w:szCs w:val="32"/>
        </w:rPr>
        <w:t>及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其他，</w:t>
      </w:r>
      <w:r w:rsidRPr="000C338D">
        <w:rPr>
          <w:rFonts w:ascii="仿宋" w:eastAsia="仿宋" w:hAnsi="仿宋"/>
          <w:color w:val="000000"/>
          <w:sz w:val="32"/>
          <w:szCs w:val="32"/>
        </w:rPr>
        <w:t>以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便于开展统计分析和</w:t>
      </w:r>
      <w:r w:rsidRPr="000C338D">
        <w:rPr>
          <w:rFonts w:ascii="仿宋" w:eastAsia="仿宋" w:hAnsi="仿宋"/>
          <w:color w:val="000000"/>
          <w:sz w:val="32"/>
          <w:szCs w:val="32"/>
        </w:rPr>
        <w:t>风险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管理。按照交易金额不同，</w:t>
      </w:r>
      <w:r w:rsidRPr="000C338D">
        <w:rPr>
          <w:rFonts w:ascii="仿宋" w:eastAsia="仿宋" w:hAnsi="仿宋"/>
          <w:color w:val="000000"/>
          <w:sz w:val="32"/>
          <w:szCs w:val="32"/>
        </w:rPr>
        <w:t>《办法》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将本级关联交易分为重大关联交易和一般关联交易，适用不同的</w:t>
      </w:r>
      <w:r w:rsidRPr="000C338D">
        <w:rPr>
          <w:rFonts w:ascii="仿宋" w:eastAsia="仿宋" w:hAnsi="仿宋"/>
          <w:color w:val="000000"/>
          <w:sz w:val="32"/>
          <w:szCs w:val="32"/>
        </w:rPr>
        <w:t>管理要求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。</w:t>
      </w:r>
    </w:p>
    <w:p w:rsidR="003B0C9B" w:rsidRPr="000C338D" w:rsidRDefault="00485A9F">
      <w:pPr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0C338D">
        <w:rPr>
          <w:rFonts w:ascii="仿宋" w:eastAsia="仿宋" w:hAnsi="仿宋"/>
          <w:b/>
          <w:bCs/>
          <w:color w:val="000000"/>
          <w:sz w:val="32"/>
          <w:szCs w:val="32"/>
        </w:rPr>
        <w:t>三</w:t>
      </w:r>
      <w:r w:rsidRPr="000C338D">
        <w:rPr>
          <w:rFonts w:ascii="仿宋" w:eastAsia="仿宋" w:hAnsi="仿宋" w:hint="eastAsia"/>
          <w:b/>
          <w:bCs/>
          <w:color w:val="000000"/>
          <w:sz w:val="32"/>
          <w:szCs w:val="32"/>
        </w:rPr>
        <w:t>是提出内部管理总体要求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在管理制度方面，金融控股公司应当建立有效的关联交易管理制度，明确“事前、事中、事后”全流程管控措施，降低关联交易复杂程度，提升集团整体关联交易管理水平，确保集团各层面关联交易管理制度的有效衔接。在治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理架构方面，金融控股公司董事会应当</w:t>
      </w:r>
      <w:r w:rsidRPr="000C338D">
        <w:rPr>
          <w:rFonts w:ascii="仿宋" w:eastAsia="仿宋" w:hAnsi="仿宋" w:hint="eastAsia"/>
          <w:sz w:val="32"/>
          <w:szCs w:val="32"/>
        </w:rPr>
        <w:t>设立关联交易管理委员会</w:t>
      </w:r>
      <w:r w:rsidRPr="000C338D">
        <w:rPr>
          <w:rFonts w:ascii="仿宋" w:eastAsia="仿宋" w:hAnsi="仿宋"/>
          <w:sz w:val="32"/>
          <w:szCs w:val="32"/>
        </w:rPr>
        <w:t>，金融控股公司应当设立关联交易管理</w:t>
      </w:r>
      <w:r w:rsidRPr="000C338D">
        <w:rPr>
          <w:rFonts w:ascii="仿宋" w:eastAsia="仿宋" w:hAnsi="仿宋" w:hint="eastAsia"/>
          <w:sz w:val="32"/>
          <w:szCs w:val="32"/>
        </w:rPr>
        <w:t>办公室、牵头部门和专岗，负责关联交易的管理和风险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控制，维护关联方清单。此外，《办法》</w:t>
      </w:r>
      <w:r w:rsidRPr="000C338D">
        <w:rPr>
          <w:rFonts w:ascii="仿宋" w:eastAsia="仿宋" w:hAnsi="仿宋"/>
          <w:color w:val="000000"/>
          <w:sz w:val="32"/>
          <w:szCs w:val="32"/>
        </w:rPr>
        <w:t>还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对关联交易管理信息系统、定价、审计和内部问责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提出要求，金融控股公司</w:t>
      </w:r>
      <w:r w:rsidRPr="000C338D">
        <w:rPr>
          <w:rFonts w:ascii="仿宋" w:eastAsia="仿宋" w:hAnsi="仿宋"/>
          <w:color w:val="000000"/>
          <w:sz w:val="32"/>
          <w:szCs w:val="32"/>
        </w:rPr>
        <w:t>应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根据自身实际审慎设置关联交易限额，控制关联交易的数量和规模，不得从事禁止性行为。</w:t>
      </w:r>
    </w:p>
    <w:p w:rsidR="003B0C9B" w:rsidRPr="000C338D" w:rsidRDefault="00485A9F">
      <w:pPr>
        <w:ind w:firstLineChars="200" w:firstLine="643"/>
        <w:rPr>
          <w:rFonts w:ascii="仿宋" w:eastAsia="仿宋" w:hAnsi="仿宋"/>
          <w:color w:val="000000"/>
          <w:sz w:val="32"/>
          <w:szCs w:val="32"/>
        </w:rPr>
      </w:pPr>
      <w:r w:rsidRPr="000C338D">
        <w:rPr>
          <w:rFonts w:ascii="仿宋" w:eastAsia="仿宋" w:hAnsi="仿宋"/>
          <w:b/>
          <w:bCs/>
          <w:color w:val="000000"/>
          <w:sz w:val="32"/>
          <w:szCs w:val="32"/>
        </w:rPr>
        <w:t>四</w:t>
      </w:r>
      <w:r w:rsidRPr="000C338D">
        <w:rPr>
          <w:rFonts w:ascii="仿宋" w:eastAsia="仿宋" w:hAnsi="仿宋" w:hint="eastAsia"/>
          <w:b/>
          <w:bCs/>
          <w:color w:val="000000"/>
          <w:sz w:val="32"/>
          <w:szCs w:val="32"/>
        </w:rPr>
        <w:t>是</w:t>
      </w:r>
      <w:r w:rsidRPr="000C338D">
        <w:rPr>
          <w:rFonts w:ascii="仿宋" w:eastAsia="仿宋" w:hAnsi="仿宋"/>
          <w:b/>
          <w:bCs/>
          <w:color w:val="000000"/>
          <w:sz w:val="32"/>
          <w:szCs w:val="32"/>
        </w:rPr>
        <w:t>分类</w:t>
      </w:r>
      <w:r w:rsidRPr="000C338D">
        <w:rPr>
          <w:rFonts w:ascii="仿宋" w:eastAsia="仿宋" w:hAnsi="仿宋" w:hint="eastAsia"/>
          <w:b/>
          <w:bCs/>
          <w:color w:val="000000"/>
          <w:sz w:val="32"/>
          <w:szCs w:val="32"/>
        </w:rPr>
        <w:t>提出关联交易管理具体要求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。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针对本级关联交易管理，金融控股公司</w:t>
      </w:r>
      <w:r w:rsidRPr="000C338D">
        <w:rPr>
          <w:rFonts w:ascii="仿宋" w:eastAsia="仿宋" w:hAnsi="仿宋"/>
          <w:color w:val="000000"/>
          <w:sz w:val="32"/>
          <w:szCs w:val="32"/>
        </w:rPr>
        <w:t>应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重点关注关联交易的合规性和公允性，建立关联交易协议签订、内部审批等全流程管控措施。针对附属机构关联交易管理，金融控股公司应充分发挥指导</w:t>
      </w:r>
      <w:r w:rsidRPr="000C338D">
        <w:rPr>
          <w:rFonts w:ascii="仿宋" w:eastAsia="仿宋" w:hAnsi="仿宋"/>
          <w:color w:val="000000"/>
          <w:sz w:val="32"/>
          <w:szCs w:val="32"/>
        </w:rPr>
        <w:t>督促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作用，重点关注重要附属机构</w:t>
      </w:r>
      <w:r w:rsidRPr="000C338D">
        <w:rPr>
          <w:rFonts w:ascii="仿宋" w:eastAsia="仿宋" w:hAnsi="仿宋"/>
          <w:color w:val="000000"/>
          <w:sz w:val="32"/>
          <w:szCs w:val="32"/>
        </w:rPr>
        <w:t>、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未上市且未受监管</w:t>
      </w:r>
      <w:r w:rsidRPr="000C338D">
        <w:rPr>
          <w:rFonts w:ascii="仿宋" w:eastAsia="仿宋" w:hAnsi="仿宋"/>
          <w:color w:val="000000"/>
          <w:sz w:val="32"/>
          <w:szCs w:val="32"/>
        </w:rPr>
        <w:t>实体的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关联交易管理合规性。针对集团内部交易</w:t>
      </w:r>
      <w:r w:rsidRPr="000C338D">
        <w:rPr>
          <w:rFonts w:ascii="仿宋" w:eastAsia="仿宋" w:hAnsi="仿宋"/>
          <w:color w:val="000000"/>
          <w:sz w:val="32"/>
          <w:szCs w:val="32"/>
        </w:rPr>
        <w:t>管理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，金融控股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lastRenderedPageBreak/>
        <w:t>公司</w:t>
      </w:r>
      <w:r w:rsidRPr="000C338D">
        <w:rPr>
          <w:rFonts w:ascii="仿宋" w:eastAsia="仿宋" w:hAnsi="仿宋"/>
          <w:color w:val="000000"/>
          <w:sz w:val="32"/>
          <w:szCs w:val="32"/>
        </w:rPr>
        <w:t>应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重点评估交易的合理性、各机构之间的依赖关系以及风险传染性等。针对集团对外关联交易</w:t>
      </w:r>
      <w:r w:rsidRPr="000C338D">
        <w:rPr>
          <w:rFonts w:ascii="仿宋" w:eastAsia="仿宋" w:hAnsi="仿宋"/>
          <w:color w:val="000000"/>
          <w:sz w:val="32"/>
          <w:szCs w:val="32"/>
        </w:rPr>
        <w:t>管理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，金融控股公司</w:t>
      </w:r>
      <w:r w:rsidRPr="000C338D">
        <w:rPr>
          <w:rFonts w:ascii="仿宋" w:eastAsia="仿宋" w:hAnsi="仿宋"/>
          <w:color w:val="000000"/>
          <w:sz w:val="32"/>
          <w:szCs w:val="32"/>
        </w:rPr>
        <w:t>应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重点关注金融控股公司</w:t>
      </w:r>
      <w:r w:rsidRPr="000C338D">
        <w:rPr>
          <w:rFonts w:ascii="仿宋" w:eastAsia="仿宋" w:hAnsi="仿宋"/>
          <w:color w:val="000000"/>
          <w:sz w:val="32"/>
          <w:szCs w:val="32"/>
        </w:rPr>
        <w:t>及其附属机构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向控股股</w:t>
      </w:r>
      <w:r w:rsidRPr="000C338D">
        <w:rPr>
          <w:rFonts w:ascii="仿宋" w:eastAsia="仿宋" w:hAnsi="仿宋" w:hint="eastAsia"/>
          <w:color w:val="000000"/>
          <w:sz w:val="32"/>
          <w:szCs w:val="32"/>
        </w:rPr>
        <w:t>东、实际控制人及其关联方进行利益输送的风险等。</w:t>
      </w:r>
    </w:p>
    <w:p w:rsidR="003B0C9B" w:rsidRPr="000C338D" w:rsidRDefault="00485A9F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C338D">
        <w:rPr>
          <w:rFonts w:ascii="仿宋" w:eastAsia="仿宋" w:hAnsi="仿宋"/>
          <w:b/>
          <w:bCs/>
          <w:sz w:val="32"/>
          <w:szCs w:val="32"/>
        </w:rPr>
        <w:t>五</w:t>
      </w:r>
      <w:r w:rsidRPr="000C338D">
        <w:rPr>
          <w:rFonts w:ascii="仿宋" w:eastAsia="仿宋" w:hAnsi="仿宋" w:hint="eastAsia"/>
          <w:b/>
          <w:bCs/>
          <w:sz w:val="32"/>
          <w:szCs w:val="32"/>
        </w:rPr>
        <w:t>是强化报告和披露要求</w:t>
      </w:r>
      <w:r w:rsidRPr="000C338D">
        <w:rPr>
          <w:rFonts w:ascii="仿宋" w:eastAsia="仿宋" w:hAnsi="仿宋" w:hint="eastAsia"/>
          <w:sz w:val="32"/>
          <w:szCs w:val="32"/>
        </w:rPr>
        <w:t>。金融控股公司应当真实、准确、完整、及时地报告、披露金融控</w:t>
      </w:r>
      <w:r w:rsidRPr="000C338D">
        <w:rPr>
          <w:rFonts w:ascii="仿宋" w:eastAsia="仿宋" w:hAnsi="仿宋" w:hint="eastAsia"/>
          <w:sz w:val="32"/>
          <w:szCs w:val="32"/>
        </w:rPr>
        <w:t>股公司本级关联交易、集团内部交易和集团对外关联交易信息，向人民银行报告本级重大关联交易情况，并按季报送本级关联交易、集团内部交易和集团对外关联交易的综合分析评估报告。为强化市场约束作用，《办法》要求金融控股公司披露关联交易的相关信息，提高集团运作的透明度。</w:t>
      </w:r>
    </w:p>
    <w:p w:rsidR="003B0C9B" w:rsidRPr="000C338D" w:rsidRDefault="00485A9F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0C338D">
        <w:rPr>
          <w:rFonts w:ascii="仿宋" w:eastAsia="仿宋" w:hAnsi="仿宋"/>
          <w:b/>
          <w:bCs/>
          <w:sz w:val="32"/>
          <w:szCs w:val="32"/>
        </w:rPr>
        <w:t>六</w:t>
      </w:r>
      <w:r w:rsidRPr="000C338D">
        <w:rPr>
          <w:rFonts w:ascii="仿宋" w:eastAsia="仿宋" w:hAnsi="仿宋" w:hint="eastAsia"/>
          <w:b/>
          <w:bCs/>
          <w:sz w:val="32"/>
          <w:szCs w:val="32"/>
        </w:rPr>
        <w:t>是明确监督管理措施。</w:t>
      </w:r>
      <w:r w:rsidRPr="000C338D">
        <w:rPr>
          <w:rFonts w:ascii="仿宋" w:eastAsia="仿宋" w:hAnsi="仿宋" w:hint="eastAsia"/>
          <w:sz w:val="32"/>
          <w:szCs w:val="32"/>
        </w:rPr>
        <w:t>人民银行与相关部门之间建立监管合作与信息共享机制，加强金融控股公司及其附属机构的关联交易监管，及时</w:t>
      </w:r>
      <w:r w:rsidRPr="000C338D">
        <w:rPr>
          <w:rFonts w:ascii="仿宋" w:eastAsia="仿宋" w:hAnsi="仿宋"/>
          <w:sz w:val="32"/>
          <w:szCs w:val="32"/>
        </w:rPr>
        <w:t>共享相关关联方及关联交易信息，</w:t>
      </w:r>
      <w:r w:rsidRPr="000C338D">
        <w:rPr>
          <w:rFonts w:ascii="仿宋" w:eastAsia="仿宋" w:hAnsi="仿宋" w:hint="eastAsia"/>
          <w:sz w:val="32"/>
          <w:szCs w:val="32"/>
        </w:rPr>
        <w:t>在必要时</w:t>
      </w:r>
      <w:r w:rsidRPr="000C338D">
        <w:rPr>
          <w:rFonts w:ascii="仿宋" w:eastAsia="仿宋" w:hAnsi="仿宋"/>
          <w:sz w:val="32"/>
          <w:szCs w:val="32"/>
        </w:rPr>
        <w:t>依据</w:t>
      </w:r>
      <w:r w:rsidRPr="000C338D">
        <w:rPr>
          <w:rFonts w:ascii="仿宋" w:eastAsia="仿宋" w:hAnsi="仿宋" w:hint="eastAsia"/>
          <w:sz w:val="32"/>
          <w:szCs w:val="32"/>
        </w:rPr>
        <w:t>职责分工采取相应的监管措施。对于金融控股公司及其董监高</w:t>
      </w:r>
      <w:r w:rsidRPr="000C338D">
        <w:rPr>
          <w:rFonts w:ascii="仿宋" w:eastAsia="仿宋" w:hAnsi="仿宋"/>
          <w:sz w:val="32"/>
          <w:szCs w:val="32"/>
        </w:rPr>
        <w:t>人员</w:t>
      </w:r>
      <w:r w:rsidRPr="000C338D">
        <w:rPr>
          <w:rFonts w:ascii="仿宋" w:eastAsia="仿宋" w:hAnsi="仿宋" w:hint="eastAsia"/>
          <w:sz w:val="32"/>
          <w:szCs w:val="32"/>
        </w:rPr>
        <w:t>、股东和中介机构违反本办法规定的，</w:t>
      </w:r>
      <w:r w:rsidRPr="000C338D">
        <w:rPr>
          <w:rFonts w:ascii="仿宋" w:eastAsia="仿宋" w:hAnsi="仿宋"/>
          <w:sz w:val="32"/>
          <w:szCs w:val="32"/>
        </w:rPr>
        <w:t>《办法》明确了</w:t>
      </w:r>
      <w:r w:rsidRPr="000C338D">
        <w:rPr>
          <w:rFonts w:ascii="仿宋" w:eastAsia="仿宋" w:hAnsi="仿宋" w:hint="eastAsia"/>
          <w:sz w:val="32"/>
          <w:szCs w:val="32"/>
        </w:rPr>
        <w:t>相应的监管措施。</w:t>
      </w:r>
    </w:p>
    <w:p w:rsidR="003B0C9B" w:rsidRPr="000C338D" w:rsidRDefault="00485A9F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C338D">
        <w:rPr>
          <w:rFonts w:ascii="仿宋" w:eastAsia="仿宋" w:hAnsi="仿宋" w:hint="eastAsia"/>
          <w:sz w:val="32"/>
          <w:szCs w:val="32"/>
        </w:rPr>
        <w:t>此外，《办法》设置了相应的过渡期安排，金融控股公司在本办法施行之日起</w:t>
      </w:r>
      <w:r w:rsidRPr="000C338D">
        <w:rPr>
          <w:rFonts w:ascii="仿宋" w:eastAsia="仿宋" w:hAnsi="仿宋"/>
          <w:sz w:val="32"/>
          <w:szCs w:val="32"/>
        </w:rPr>
        <w:t>一年</w:t>
      </w:r>
      <w:r w:rsidRPr="000C338D">
        <w:rPr>
          <w:rFonts w:ascii="仿宋" w:eastAsia="仿宋" w:hAnsi="仿宋" w:hint="eastAsia"/>
          <w:sz w:val="32"/>
          <w:szCs w:val="32"/>
        </w:rPr>
        <w:t>内完善各项制度和治理架构，稳妥有序落实相关要求，确保</w:t>
      </w:r>
      <w:r w:rsidRPr="000C338D">
        <w:rPr>
          <w:rFonts w:ascii="仿宋" w:eastAsia="仿宋" w:hAnsi="仿宋"/>
          <w:sz w:val="32"/>
          <w:szCs w:val="32"/>
        </w:rPr>
        <w:t>过渡期满</w:t>
      </w:r>
      <w:r w:rsidRPr="000C338D">
        <w:rPr>
          <w:rFonts w:ascii="仿宋" w:eastAsia="仿宋" w:hAnsi="仿宋" w:hint="eastAsia"/>
          <w:sz w:val="32"/>
          <w:szCs w:val="32"/>
        </w:rPr>
        <w:t>关联交易管理合规。</w:t>
      </w:r>
    </w:p>
    <w:sectPr w:rsidR="003B0C9B" w:rsidRPr="000C338D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A9F" w:rsidRDefault="00485A9F">
      <w:r>
        <w:separator/>
      </w:r>
    </w:p>
  </w:endnote>
  <w:endnote w:type="continuationSeparator" w:id="0">
    <w:p w:rsidR="00485A9F" w:rsidRDefault="00485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0C9B" w:rsidRDefault="00485A9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0C338D" w:rsidRPr="000C338D">
      <w:rPr>
        <w:noProof/>
        <w:lang w:val="zh-CN"/>
      </w:rPr>
      <w:t>1</w:t>
    </w:r>
    <w:r>
      <w:fldChar w:fldCharType="end"/>
    </w:r>
  </w:p>
  <w:p w:rsidR="003B0C9B" w:rsidRDefault="003B0C9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A9F" w:rsidRDefault="00485A9F">
      <w:r>
        <w:separator/>
      </w:r>
    </w:p>
  </w:footnote>
  <w:footnote w:type="continuationSeparator" w:id="0">
    <w:p w:rsidR="00485A9F" w:rsidRDefault="00485A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80869"/>
    <w:rsid w:val="9FAFBABB"/>
    <w:rsid w:val="B7ACB364"/>
    <w:rsid w:val="B7FFC9A2"/>
    <w:rsid w:val="BBEFF8EB"/>
    <w:rsid w:val="BFFD4B71"/>
    <w:rsid w:val="CFA73204"/>
    <w:rsid w:val="CFDF2B62"/>
    <w:rsid w:val="D6CF97CB"/>
    <w:rsid w:val="DB77A770"/>
    <w:rsid w:val="E75FD058"/>
    <w:rsid w:val="EDF99CC7"/>
    <w:rsid w:val="EFFB4BEC"/>
    <w:rsid w:val="F5F3A59B"/>
    <w:rsid w:val="F7DF6A70"/>
    <w:rsid w:val="FA374350"/>
    <w:rsid w:val="FBBFF9DD"/>
    <w:rsid w:val="FBF4E6EA"/>
    <w:rsid w:val="FD9FFE6D"/>
    <w:rsid w:val="FDDB87B0"/>
    <w:rsid w:val="FDDF245C"/>
    <w:rsid w:val="FEDE3F36"/>
    <w:rsid w:val="FEEF054E"/>
    <w:rsid w:val="FFC4E5C1"/>
    <w:rsid w:val="FFFB6D91"/>
    <w:rsid w:val="00013ECC"/>
    <w:rsid w:val="00022AD9"/>
    <w:rsid w:val="0002407F"/>
    <w:rsid w:val="00025D1B"/>
    <w:rsid w:val="00025FB2"/>
    <w:rsid w:val="0004383C"/>
    <w:rsid w:val="00045DD2"/>
    <w:rsid w:val="000705E0"/>
    <w:rsid w:val="00073418"/>
    <w:rsid w:val="00080869"/>
    <w:rsid w:val="000B75A7"/>
    <w:rsid w:val="000C0744"/>
    <w:rsid w:val="000C338D"/>
    <w:rsid w:val="000C4EFD"/>
    <w:rsid w:val="000D7BE4"/>
    <w:rsid w:val="00110D30"/>
    <w:rsid w:val="001456E9"/>
    <w:rsid w:val="00185B97"/>
    <w:rsid w:val="001879A5"/>
    <w:rsid w:val="001D4EDA"/>
    <w:rsid w:val="00202F30"/>
    <w:rsid w:val="00211A52"/>
    <w:rsid w:val="0021601F"/>
    <w:rsid w:val="00223F04"/>
    <w:rsid w:val="002333AB"/>
    <w:rsid w:val="0023766B"/>
    <w:rsid w:val="00247EFC"/>
    <w:rsid w:val="0026493B"/>
    <w:rsid w:val="0027336B"/>
    <w:rsid w:val="0027436B"/>
    <w:rsid w:val="002825B6"/>
    <w:rsid w:val="00293785"/>
    <w:rsid w:val="002D1CF0"/>
    <w:rsid w:val="002D5B7C"/>
    <w:rsid w:val="002E38C6"/>
    <w:rsid w:val="002E66D0"/>
    <w:rsid w:val="002F0353"/>
    <w:rsid w:val="00301BAE"/>
    <w:rsid w:val="00317AD6"/>
    <w:rsid w:val="00386317"/>
    <w:rsid w:val="003A46B8"/>
    <w:rsid w:val="003B0C9B"/>
    <w:rsid w:val="003B18E2"/>
    <w:rsid w:val="003E4965"/>
    <w:rsid w:val="003E5B1C"/>
    <w:rsid w:val="003F6ACC"/>
    <w:rsid w:val="00457BDB"/>
    <w:rsid w:val="00472EE1"/>
    <w:rsid w:val="00473FD7"/>
    <w:rsid w:val="00474EC6"/>
    <w:rsid w:val="0047556F"/>
    <w:rsid w:val="00485A9F"/>
    <w:rsid w:val="004917AC"/>
    <w:rsid w:val="004A00B4"/>
    <w:rsid w:val="004A2786"/>
    <w:rsid w:val="004B2305"/>
    <w:rsid w:val="004B4FCA"/>
    <w:rsid w:val="004B6662"/>
    <w:rsid w:val="004D18CE"/>
    <w:rsid w:val="004D4C06"/>
    <w:rsid w:val="005005EF"/>
    <w:rsid w:val="00506684"/>
    <w:rsid w:val="00536BA5"/>
    <w:rsid w:val="005414C6"/>
    <w:rsid w:val="0055285A"/>
    <w:rsid w:val="00571D80"/>
    <w:rsid w:val="005816ED"/>
    <w:rsid w:val="00586771"/>
    <w:rsid w:val="005C49E9"/>
    <w:rsid w:val="00605225"/>
    <w:rsid w:val="00623D9D"/>
    <w:rsid w:val="0064667C"/>
    <w:rsid w:val="006526D3"/>
    <w:rsid w:val="0065421A"/>
    <w:rsid w:val="006804BB"/>
    <w:rsid w:val="006828F3"/>
    <w:rsid w:val="006A1673"/>
    <w:rsid w:val="006A48C6"/>
    <w:rsid w:val="006D1559"/>
    <w:rsid w:val="006D7426"/>
    <w:rsid w:val="006E0414"/>
    <w:rsid w:val="0070164E"/>
    <w:rsid w:val="00715C5E"/>
    <w:rsid w:val="00716AC6"/>
    <w:rsid w:val="007620FA"/>
    <w:rsid w:val="0079397E"/>
    <w:rsid w:val="00794E82"/>
    <w:rsid w:val="007A682A"/>
    <w:rsid w:val="007C682F"/>
    <w:rsid w:val="007D5901"/>
    <w:rsid w:val="007E4EDD"/>
    <w:rsid w:val="007E65F2"/>
    <w:rsid w:val="00800641"/>
    <w:rsid w:val="0080199D"/>
    <w:rsid w:val="008265D2"/>
    <w:rsid w:val="0083452F"/>
    <w:rsid w:val="008440BB"/>
    <w:rsid w:val="0086500D"/>
    <w:rsid w:val="0086510B"/>
    <w:rsid w:val="00871442"/>
    <w:rsid w:val="00872529"/>
    <w:rsid w:val="00881F9A"/>
    <w:rsid w:val="00897257"/>
    <w:rsid w:val="008A1609"/>
    <w:rsid w:val="008E0B69"/>
    <w:rsid w:val="008E1DA5"/>
    <w:rsid w:val="00912C34"/>
    <w:rsid w:val="00916C26"/>
    <w:rsid w:val="00922A45"/>
    <w:rsid w:val="00924BCE"/>
    <w:rsid w:val="00930782"/>
    <w:rsid w:val="009378A2"/>
    <w:rsid w:val="009701C1"/>
    <w:rsid w:val="009D5705"/>
    <w:rsid w:val="009E6D28"/>
    <w:rsid w:val="00A13F7C"/>
    <w:rsid w:val="00A27410"/>
    <w:rsid w:val="00A37789"/>
    <w:rsid w:val="00A62A57"/>
    <w:rsid w:val="00A96FFB"/>
    <w:rsid w:val="00AA2190"/>
    <w:rsid w:val="00AB1405"/>
    <w:rsid w:val="00AB474E"/>
    <w:rsid w:val="00AB7DF5"/>
    <w:rsid w:val="00B01836"/>
    <w:rsid w:val="00B10C1F"/>
    <w:rsid w:val="00B15679"/>
    <w:rsid w:val="00B21739"/>
    <w:rsid w:val="00B316C7"/>
    <w:rsid w:val="00B45DBC"/>
    <w:rsid w:val="00B61E02"/>
    <w:rsid w:val="00B64289"/>
    <w:rsid w:val="00B74E2E"/>
    <w:rsid w:val="00B75739"/>
    <w:rsid w:val="00B90EF7"/>
    <w:rsid w:val="00BA0AB1"/>
    <w:rsid w:val="00BA195E"/>
    <w:rsid w:val="00BC2133"/>
    <w:rsid w:val="00BE7192"/>
    <w:rsid w:val="00BF1F22"/>
    <w:rsid w:val="00BF43E5"/>
    <w:rsid w:val="00BF5F88"/>
    <w:rsid w:val="00BF64E7"/>
    <w:rsid w:val="00C265E5"/>
    <w:rsid w:val="00C60757"/>
    <w:rsid w:val="00C71A74"/>
    <w:rsid w:val="00CA6277"/>
    <w:rsid w:val="00CB0BAE"/>
    <w:rsid w:val="00CD09A9"/>
    <w:rsid w:val="00CF25AC"/>
    <w:rsid w:val="00D271C8"/>
    <w:rsid w:val="00D30F20"/>
    <w:rsid w:val="00D34447"/>
    <w:rsid w:val="00D37894"/>
    <w:rsid w:val="00D37995"/>
    <w:rsid w:val="00D43A37"/>
    <w:rsid w:val="00D853EB"/>
    <w:rsid w:val="00DB1F08"/>
    <w:rsid w:val="00DB1F3B"/>
    <w:rsid w:val="00DC0AFB"/>
    <w:rsid w:val="00DE382D"/>
    <w:rsid w:val="00DF34E7"/>
    <w:rsid w:val="00E03174"/>
    <w:rsid w:val="00E24C8E"/>
    <w:rsid w:val="00E25A2A"/>
    <w:rsid w:val="00E4286B"/>
    <w:rsid w:val="00E472BE"/>
    <w:rsid w:val="00E70A4D"/>
    <w:rsid w:val="00E907ED"/>
    <w:rsid w:val="00E920BF"/>
    <w:rsid w:val="00E92B97"/>
    <w:rsid w:val="00EC4BAF"/>
    <w:rsid w:val="00EE2AEE"/>
    <w:rsid w:val="00EF1113"/>
    <w:rsid w:val="00EF15AC"/>
    <w:rsid w:val="00EF4E0E"/>
    <w:rsid w:val="00EF7FF9"/>
    <w:rsid w:val="00F01FDC"/>
    <w:rsid w:val="00F36F3F"/>
    <w:rsid w:val="00F42E56"/>
    <w:rsid w:val="00F653F3"/>
    <w:rsid w:val="00F876E8"/>
    <w:rsid w:val="00FA5622"/>
    <w:rsid w:val="00FC6396"/>
    <w:rsid w:val="00FD21E7"/>
    <w:rsid w:val="00FD6FBC"/>
    <w:rsid w:val="00FE34A7"/>
    <w:rsid w:val="00FE674F"/>
    <w:rsid w:val="05935FE0"/>
    <w:rsid w:val="06CF432D"/>
    <w:rsid w:val="0D865104"/>
    <w:rsid w:val="16DD13D0"/>
    <w:rsid w:val="197C5724"/>
    <w:rsid w:val="1F4B1AC3"/>
    <w:rsid w:val="1FFC0A52"/>
    <w:rsid w:val="26AD77F9"/>
    <w:rsid w:val="2828672F"/>
    <w:rsid w:val="2E317B7F"/>
    <w:rsid w:val="2FBEC798"/>
    <w:rsid w:val="2FF354F6"/>
    <w:rsid w:val="324B7883"/>
    <w:rsid w:val="37F725BD"/>
    <w:rsid w:val="384D625F"/>
    <w:rsid w:val="39876A15"/>
    <w:rsid w:val="3D63318B"/>
    <w:rsid w:val="3F4A239B"/>
    <w:rsid w:val="43997D95"/>
    <w:rsid w:val="4C3C5AD2"/>
    <w:rsid w:val="52EF322C"/>
    <w:rsid w:val="58E213CD"/>
    <w:rsid w:val="5BEF7C13"/>
    <w:rsid w:val="5CDD4961"/>
    <w:rsid w:val="6B5F4E50"/>
    <w:rsid w:val="6EFF1974"/>
    <w:rsid w:val="721F063B"/>
    <w:rsid w:val="777FAB6E"/>
    <w:rsid w:val="778D1277"/>
    <w:rsid w:val="787954A7"/>
    <w:rsid w:val="7AD93D0D"/>
    <w:rsid w:val="7D6E2054"/>
    <w:rsid w:val="7E77EB83"/>
    <w:rsid w:val="7EEF1191"/>
    <w:rsid w:val="7EFFA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BACF3CD-2964-4116-B809-7D33D78F5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 w:qFormat="1"/>
    <w:lsdException w:name="footer" w:uiPriority="99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hAnsi="等线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4</Pages>
  <Words>301</Words>
  <Characters>1722</Characters>
  <Application>Microsoft Office Word</Application>
  <DocSecurity>0</DocSecurity>
  <Lines>14</Lines>
  <Paragraphs>4</Paragraphs>
  <ScaleCrop>false</ScaleCrop>
  <Company/>
  <LinksUpToDate>false</LinksUpToDate>
  <CharactersWithSpaces>2019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《金融控股公司关联交易与集团内部交易管理办法（征求意见稿）》起草说明</dc:title>
  <dc:creator>李 岩</dc:creator>
  <cp:lastModifiedBy>yy</cp:lastModifiedBy>
  <cp:revision>4</cp:revision>
  <cp:lastPrinted>2022-08-22T13:53:00Z</cp:lastPrinted>
  <dcterms:created xsi:type="dcterms:W3CDTF">2022-01-23T22:34:00Z</dcterms:created>
  <dcterms:modified xsi:type="dcterms:W3CDTF">2022-08-29T07:39:00Z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