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附件3</w:t>
      </w:r>
    </w:p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环境损害司法鉴定机构实验室和仪器设备配置要求</w:t>
      </w:r>
    </w:p>
    <w:bookmarkEnd w:id="0"/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一、污染物性质鉴定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样品保存和试剂保存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注射</w:t>
            </w:r>
            <w:r>
              <w:rPr>
                <w:rFonts w:ascii="仿宋" w:hAnsi="仿宋" w:eastAsia="仿宋"/>
                <w:color w:val="000000"/>
                <w:szCs w:val="21"/>
              </w:rPr>
              <w:t>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</w:t>
            </w:r>
            <w:r>
              <w:rPr>
                <w:rFonts w:ascii="仿宋" w:hAnsi="仿宋" w:eastAsia="仿宋"/>
                <w:color w:val="000000"/>
                <w:szCs w:val="21"/>
              </w:rPr>
              <w:t>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有机物质检测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必配（二选一）</w:t>
            </w:r>
          </w:p>
        </w:tc>
        <w:tc>
          <w:tcPr>
            <w:tcW w:w="1997" w:type="dxa"/>
            <w:vMerge w:val="restart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07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环境危害性和毒性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独立的试验生物饲养区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水生生物测试系统及实验生物维持系统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陆生生物测试系统及实验生物维持系统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生物降解及模拟生物降解测试系统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生物蓄积测试系统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二、地表水和沉积物、近海海洋与海岸带环境损害鉴定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水位测量仪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溶解氧仪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盐度计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流量计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多普勒剖面仪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便携式水质重金属检测仪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多参数水质测定仪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便携式综合毒性检测仪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石油类采样器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水和底泥样品采集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水体采样器（一般指标）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底泥采样器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采样船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艘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鱼探仪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人工基质采样器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网/圆锥网/底层网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浮游生物网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踢网/索伯网/D型抄网/带网夹泥器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机械绞盘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潜水设备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便携式地物光谱仪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鱼眼镜头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罗盘仪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水下照相机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探深仪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生长锥（基径）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激光测高仪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生物样品分拣鉴定工具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生物样品分拣鉴定工具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显微镜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三、空气污染环境损害鉴定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气象参数监测仪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便携式气体检测仪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便携式气体检测箱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便携式气相色谱/质谱仪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空气样品采样器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空气样品采集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烟尘采样器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采集刀/铁铲/镊子/指南针/抄网/望远镜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陆生生物样品采集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捕虫网/人工巢管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风力计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彩色诱集盘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放大镜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/观察盒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/生长锥/激光测高仪/冠层分析仪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个/台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热脱附仪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恒温恒湿箱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szCs w:val="21"/>
              </w:rPr>
              <w:t>+原子荧光分光光度计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四、土壤和地下水环境损害鉴定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276"/>
        <w:gridCol w:w="5528"/>
        <w:gridCol w:w="992"/>
        <w:gridCol w:w="160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水位测量仪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地下水流向流速仪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地下水位自动监测仪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手持式挥发性有机化合物气体检测仪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便携式水质重金属检测仪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多参数水质测定仪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X射线荧光分析仪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土壤采样设备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土壤和地下水样品采集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土壤气采样设备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采集刀/铁铲/镊子/指南针/抄网/望远镜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陆生生物样品采集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罗盘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/生长锥/激光测高仪/冠层分析仪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552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  <w:szCs w:val="21"/>
        </w:rPr>
      </w:pPr>
    </w:p>
    <w:p>
      <w:pPr>
        <w:widowControl/>
        <w:jc w:val="left"/>
        <w:rPr>
          <w:rFonts w:ascii="仿宋" w:hAnsi="仿宋" w:eastAsia="仿宋" w:cstheme="majorBidi"/>
          <w:bCs/>
          <w:sz w:val="32"/>
          <w:szCs w:val="32"/>
        </w:rPr>
      </w:pPr>
      <w:r>
        <w:rPr>
          <w:rFonts w:ascii="仿宋" w:hAnsi="仿宋" w:eastAsia="仿宋"/>
          <w:b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五、生态系统损害鉴定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992"/>
        <w:gridCol w:w="7088"/>
        <w:gridCol w:w="992"/>
        <w:gridCol w:w="113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陆域生态系统</w:t>
            </w: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和</w:t>
            </w: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指南针/抄网/麻醉瓶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望远镜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/采样器/照相机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蜜蜂、蝴蝶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大型真菌、地衣和苔藓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大中型土壤动物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两栖动物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爬行动物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鸟类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陆生哺乳动物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陆生维管植物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等生物资源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捕虫网/人工巢管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风力计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彩色诱集盘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放大镜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/观察盒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罗盘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便携式激光测距仪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胸径尺</w:t>
            </w:r>
            <w:r>
              <w:rPr>
                <w:rFonts w:hint="eastAsia" w:ascii="仿宋" w:hAnsi="仿宋" w:eastAsia="仿宋"/>
                <w:szCs w:val="21"/>
              </w:rPr>
              <w:t>/生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/铁铲/圆状取土钻/螺旋取土钻/罗盘仪/照相机/冷藏箱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森林、草原、农田生态系统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/越野车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钻具/钻头/抽筒/钢丝绳/扩孔器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水域生态系统</w:t>
            </w: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和</w:t>
            </w: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望远镜/GPS（或DGPS）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/罗盘仪/pH计/温度计/透明度盘/电子天平/采泥器/照相机/冷藏箱/流速仪/风速风向仪/水下照度计/空盒气压表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水生维管植物、藻类、浮游生物（浮游植物和浮游动物）、鱼类、大型底栖动物、微生物、水鸟、水生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哺乳动物、爬行动物和两栖动物等生物资源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回声测探仪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采样船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点频度框架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网/圆锥网/底层网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浮游生物网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踢网/索伯网/D型抄网/带网夹泥器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多普勒剖面仪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电鱼器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/望远镜/罗盘仪/指南针/水下照相机/潜水设备/盐度折射计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湿地淡水生态系统，入海河口、海岸带和海洋生态系统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便携式地物光谱仪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钻具/钻头/PVC管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台站系统或自容式验潮仪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水文气象浮标或遥测波浪浮标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悬浮物沉降设备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柱状采样器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自动图像设备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光量子仪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回声测探仪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样品观察和检测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PCR仪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高速冷冻离心机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显微镜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检尺记数器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分光光度计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马弗炉及烘箱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激光粒度仪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六、其他类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559"/>
        <w:gridCol w:w="3544"/>
        <w:gridCol w:w="1134"/>
        <w:gridCol w:w="2126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噪声类鉴定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积分声级计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振动类鉴定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环境振动仪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光污染鉴定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亮度计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电磁辐射鉴定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非选频式宽带辐射测量仪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工频电场、工频磁场测量仪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选频式辐射测量仪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电离</w:t>
            </w:r>
            <w:r>
              <w:rPr>
                <w:rFonts w:ascii="仿宋" w:hAnsi="仿宋" w:eastAsia="仿宋"/>
                <w:color w:val="000000"/>
                <w:szCs w:val="21"/>
              </w:rPr>
              <w:t>辐射鉴定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土壤采样设备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气碘采样器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气碘采集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气氚采样装置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气氚采集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采样装置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空气中碳-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超大流量气溶胶采样仪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必配（三选一）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气体样品采集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大流量气溶胶采样仪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样品预处理、天平仪器室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电热板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球磨仪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粉碎机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电沉积装置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钚-</w:t>
            </w:r>
            <w:r>
              <w:rPr>
                <w:rFonts w:ascii="仿宋" w:hAnsi="仿宋" w:eastAsia="仿宋"/>
                <w:color w:val="000000"/>
                <w:szCs w:val="21"/>
              </w:rPr>
              <w:t>239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电动搅拌装置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氚电解浓集装置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钚-</w:t>
            </w:r>
            <w:r>
              <w:rPr>
                <w:rFonts w:ascii="仿宋" w:hAnsi="仿宋" w:eastAsia="仿宋"/>
                <w:color w:val="000000"/>
                <w:szCs w:val="21"/>
              </w:rPr>
              <w:t>239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、钋-210等</w:t>
            </w: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α、β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计数器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锶-</w:t>
            </w:r>
            <w:r>
              <w:rPr>
                <w:rFonts w:ascii="仿宋" w:hAnsi="仿宋" w:eastAsia="仿宋"/>
                <w:color w:val="000000"/>
                <w:szCs w:val="21"/>
              </w:rPr>
              <w:t>90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</w:t>
            </w:r>
            <w:r>
              <w:rPr>
                <w:rFonts w:ascii="仿宋" w:hAnsi="仿宋" w:eastAsia="仿宋"/>
                <w:color w:val="000000"/>
                <w:szCs w:val="21"/>
              </w:rPr>
              <w:t>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放射性核素、总</w:t>
            </w: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、总</w:t>
            </w:r>
            <w:r>
              <w:rPr>
                <w:rFonts w:ascii="仿宋" w:hAnsi="仿宋" w:eastAsia="仿宋"/>
                <w:color w:val="000000"/>
                <w:szCs w:val="21"/>
              </w:rPr>
              <w:t>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液闪谱仪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氚、碳-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氡钍分析仪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镭-</w:t>
            </w:r>
            <w:r>
              <w:rPr>
                <w:rFonts w:ascii="仿宋" w:hAnsi="仿宋" w:eastAsia="仿宋"/>
                <w:color w:val="000000"/>
                <w:szCs w:val="21"/>
              </w:rPr>
              <w:t>226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微量铀分析仪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铀、钍测量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紫外分光光度计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热释光读出装置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累积剂量测量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退火炉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X、γ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剂量率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表面污染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测量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中子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测量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氡钍及其子体测量仪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氡钍及其子体测量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18003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0"/>
    <w:rsid w:val="00006070"/>
    <w:rsid w:val="000132E8"/>
    <w:rsid w:val="000445EA"/>
    <w:rsid w:val="00051458"/>
    <w:rsid w:val="000632A8"/>
    <w:rsid w:val="00075677"/>
    <w:rsid w:val="00093785"/>
    <w:rsid w:val="000A179E"/>
    <w:rsid w:val="000A2B2D"/>
    <w:rsid w:val="000B089A"/>
    <w:rsid w:val="000F6F7C"/>
    <w:rsid w:val="00105840"/>
    <w:rsid w:val="00126F4B"/>
    <w:rsid w:val="00131FDE"/>
    <w:rsid w:val="00151906"/>
    <w:rsid w:val="0016131D"/>
    <w:rsid w:val="00172403"/>
    <w:rsid w:val="00175780"/>
    <w:rsid w:val="00186C7B"/>
    <w:rsid w:val="00193C43"/>
    <w:rsid w:val="001A0C05"/>
    <w:rsid w:val="001B1281"/>
    <w:rsid w:val="001E5112"/>
    <w:rsid w:val="001F43EA"/>
    <w:rsid w:val="00203F65"/>
    <w:rsid w:val="0023060C"/>
    <w:rsid w:val="00233315"/>
    <w:rsid w:val="00246E32"/>
    <w:rsid w:val="00252850"/>
    <w:rsid w:val="00270FDE"/>
    <w:rsid w:val="00275433"/>
    <w:rsid w:val="0028391F"/>
    <w:rsid w:val="002A5BDA"/>
    <w:rsid w:val="00305E75"/>
    <w:rsid w:val="00317727"/>
    <w:rsid w:val="00333AFD"/>
    <w:rsid w:val="0033789B"/>
    <w:rsid w:val="003647B5"/>
    <w:rsid w:val="003A1476"/>
    <w:rsid w:val="003A3148"/>
    <w:rsid w:val="003B186C"/>
    <w:rsid w:val="003F4777"/>
    <w:rsid w:val="003F6BBD"/>
    <w:rsid w:val="00423FF3"/>
    <w:rsid w:val="0043356F"/>
    <w:rsid w:val="00444CB9"/>
    <w:rsid w:val="00445A76"/>
    <w:rsid w:val="00450B91"/>
    <w:rsid w:val="00456FFB"/>
    <w:rsid w:val="00476BA5"/>
    <w:rsid w:val="004A724E"/>
    <w:rsid w:val="004D0227"/>
    <w:rsid w:val="004D1F0B"/>
    <w:rsid w:val="004E49D3"/>
    <w:rsid w:val="004E79B5"/>
    <w:rsid w:val="004F3DA2"/>
    <w:rsid w:val="0051299A"/>
    <w:rsid w:val="005260C0"/>
    <w:rsid w:val="0052790A"/>
    <w:rsid w:val="00534863"/>
    <w:rsid w:val="0055649B"/>
    <w:rsid w:val="00565102"/>
    <w:rsid w:val="00565E47"/>
    <w:rsid w:val="0057151F"/>
    <w:rsid w:val="00596025"/>
    <w:rsid w:val="005A227E"/>
    <w:rsid w:val="005A3080"/>
    <w:rsid w:val="005D134C"/>
    <w:rsid w:val="005D1A7B"/>
    <w:rsid w:val="005D1D4B"/>
    <w:rsid w:val="005D2EB3"/>
    <w:rsid w:val="00605C58"/>
    <w:rsid w:val="006154C7"/>
    <w:rsid w:val="00640234"/>
    <w:rsid w:val="00644126"/>
    <w:rsid w:val="0064562E"/>
    <w:rsid w:val="00692146"/>
    <w:rsid w:val="006A54F6"/>
    <w:rsid w:val="006D3028"/>
    <w:rsid w:val="006F1659"/>
    <w:rsid w:val="006F55CF"/>
    <w:rsid w:val="0071672B"/>
    <w:rsid w:val="00724AFC"/>
    <w:rsid w:val="00725440"/>
    <w:rsid w:val="007261A6"/>
    <w:rsid w:val="0073343E"/>
    <w:rsid w:val="00752F63"/>
    <w:rsid w:val="00782B51"/>
    <w:rsid w:val="007B4994"/>
    <w:rsid w:val="007C3F78"/>
    <w:rsid w:val="007D0F94"/>
    <w:rsid w:val="007D4B35"/>
    <w:rsid w:val="0081745D"/>
    <w:rsid w:val="008475F5"/>
    <w:rsid w:val="00862370"/>
    <w:rsid w:val="008636C0"/>
    <w:rsid w:val="00873567"/>
    <w:rsid w:val="008857A8"/>
    <w:rsid w:val="008A724D"/>
    <w:rsid w:val="008E4CF6"/>
    <w:rsid w:val="00922812"/>
    <w:rsid w:val="00970F2B"/>
    <w:rsid w:val="00972136"/>
    <w:rsid w:val="009A3BF3"/>
    <w:rsid w:val="009A574D"/>
    <w:rsid w:val="009A694E"/>
    <w:rsid w:val="009C241A"/>
    <w:rsid w:val="00A25862"/>
    <w:rsid w:val="00A71DB4"/>
    <w:rsid w:val="00A86118"/>
    <w:rsid w:val="00A92F56"/>
    <w:rsid w:val="00A92FFE"/>
    <w:rsid w:val="00AE339C"/>
    <w:rsid w:val="00B12C07"/>
    <w:rsid w:val="00B26662"/>
    <w:rsid w:val="00B328EA"/>
    <w:rsid w:val="00B42CC7"/>
    <w:rsid w:val="00B515EB"/>
    <w:rsid w:val="00BD2DCA"/>
    <w:rsid w:val="00BE4C71"/>
    <w:rsid w:val="00C3691B"/>
    <w:rsid w:val="00C42129"/>
    <w:rsid w:val="00C707D0"/>
    <w:rsid w:val="00C719FF"/>
    <w:rsid w:val="00C769A4"/>
    <w:rsid w:val="00C85EB9"/>
    <w:rsid w:val="00CA3875"/>
    <w:rsid w:val="00CA4FDB"/>
    <w:rsid w:val="00CB1F09"/>
    <w:rsid w:val="00CC129C"/>
    <w:rsid w:val="00CD44FC"/>
    <w:rsid w:val="00CE3432"/>
    <w:rsid w:val="00D2541C"/>
    <w:rsid w:val="00D50C74"/>
    <w:rsid w:val="00D6474F"/>
    <w:rsid w:val="00D7572D"/>
    <w:rsid w:val="00D77623"/>
    <w:rsid w:val="00D77A12"/>
    <w:rsid w:val="00DA1DD2"/>
    <w:rsid w:val="00DB0083"/>
    <w:rsid w:val="00DB103D"/>
    <w:rsid w:val="00DC505B"/>
    <w:rsid w:val="00DF0A26"/>
    <w:rsid w:val="00E14BA3"/>
    <w:rsid w:val="00E65574"/>
    <w:rsid w:val="00E66B3F"/>
    <w:rsid w:val="00E808EF"/>
    <w:rsid w:val="00E8261A"/>
    <w:rsid w:val="00E8587B"/>
    <w:rsid w:val="00E909F8"/>
    <w:rsid w:val="00EA21B0"/>
    <w:rsid w:val="00EB158D"/>
    <w:rsid w:val="00EB70D9"/>
    <w:rsid w:val="00ED153B"/>
    <w:rsid w:val="00EE3FA4"/>
    <w:rsid w:val="00F01E48"/>
    <w:rsid w:val="00F46C02"/>
    <w:rsid w:val="00F53541"/>
    <w:rsid w:val="00F8589E"/>
    <w:rsid w:val="00F92A60"/>
    <w:rsid w:val="00FA589C"/>
    <w:rsid w:val="00FB0EB3"/>
    <w:rsid w:val="00FB70B0"/>
    <w:rsid w:val="0ED72C24"/>
    <w:rsid w:val="36BA4DCE"/>
    <w:rsid w:val="45AD3071"/>
    <w:rsid w:val="4FD47D49"/>
    <w:rsid w:val="679E3E7E"/>
    <w:rsid w:val="6A4941CE"/>
    <w:rsid w:val="75D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26"/>
    <w:semiHidden/>
    <w:unhideWhenUsed/>
    <w:qFormat/>
    <w:uiPriority w:val="99"/>
    <w:rPr>
      <w:rFonts w:ascii="宋体"/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1"/>
    <w:link w:val="10"/>
    <w:semiHidden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页脚 Char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表文字"/>
    <w:qFormat/>
    <w:uiPriority w:val="0"/>
    <w:pPr>
      <w:adjustRightInd w:val="0"/>
      <w:spacing w:line="270" w:lineRule="exact"/>
      <w:jc w:val="center"/>
    </w:pPr>
    <w:rPr>
      <w:rFonts w:ascii="Times New Roman" w:hAnsi="Times New Roman" w:eastAsia="宋体" w:cs="Times New Roman"/>
      <w:kern w:val="18"/>
      <w:sz w:val="21"/>
      <w:lang w:val="en-US" w:eastAsia="zh-CN" w:bidi="ar-SA"/>
    </w:rPr>
  </w:style>
  <w:style w:type="paragraph" w:customStyle="1" w:styleId="1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1"/>
    <w:link w:val="8"/>
    <w:semiHidden/>
    <w:qFormat/>
    <w:uiPriority w:val="99"/>
    <w:rPr>
      <w:sz w:val="18"/>
      <w:szCs w:val="18"/>
    </w:rPr>
  </w:style>
  <w:style w:type="character" w:customStyle="1" w:styleId="22">
    <w:name w:val="批注文字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2"/>
    <w:link w:val="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文档结构图 Char"/>
    <w:basedOn w:val="11"/>
    <w:link w:val="7"/>
    <w:semiHidden/>
    <w:qFormat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1140</Words>
  <Characters>6500</Characters>
  <Lines>54</Lines>
  <Paragraphs>15</Paragraphs>
  <TotalTime>44</TotalTime>
  <ScaleCrop>false</ScaleCrop>
  <LinksUpToDate>false</LinksUpToDate>
  <CharactersWithSpaces>7625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2018-03-26T09:40:00Z</dcterms:created>
  <dc:creator>Jay Qi</dc:creator>
  <cp:lastModifiedBy>北城以北</cp:lastModifiedBy>
  <cp:lastPrinted>2018-06-11T02:59:00Z</cp:lastPrinted>
  <dcterms:modified xsi:type="dcterms:W3CDTF">2018-07-06T06:45:52Z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